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21C10" w14:textId="77777777" w:rsidR="005A794F" w:rsidRPr="00834067" w:rsidRDefault="005A794F" w:rsidP="00FB10D6">
      <w:pPr>
        <w:spacing w:after="120"/>
        <w:ind w:left="-993" w:right="261"/>
        <w:rPr>
          <w:rFonts w:ascii="Times New Roman" w:hAnsi="Times New Roman"/>
          <w:b/>
          <w:sz w:val="36"/>
          <w:szCs w:val="36"/>
        </w:rPr>
      </w:pPr>
      <w:r w:rsidRPr="00834067">
        <w:rPr>
          <w:rFonts w:ascii="Times New Roman" w:hAnsi="Times New Roman"/>
          <w:b/>
          <w:sz w:val="36"/>
          <w:szCs w:val="36"/>
        </w:rPr>
        <w:t xml:space="preserve">Call for Sites </w:t>
      </w:r>
      <w:r w:rsidR="00FD54B1">
        <w:rPr>
          <w:rFonts w:ascii="Times New Roman" w:hAnsi="Times New Roman"/>
          <w:b/>
          <w:sz w:val="36"/>
          <w:szCs w:val="36"/>
        </w:rPr>
        <w:t>– Additional Information Request</w:t>
      </w:r>
    </w:p>
    <w:p w14:paraId="087B7073" w14:textId="77777777" w:rsidR="00D96D49" w:rsidRDefault="00D96D49" w:rsidP="003A75D3">
      <w:pPr>
        <w:spacing w:after="120"/>
        <w:ind w:right="261"/>
        <w:rPr>
          <w:rFonts w:ascii="Times New Roman" w:hAnsi="Times New Roman"/>
        </w:rPr>
      </w:pPr>
    </w:p>
    <w:p w14:paraId="0295AF11" w14:textId="77777777" w:rsidR="00FD54B1" w:rsidRDefault="00FD54B1" w:rsidP="00C92D87">
      <w:pPr>
        <w:spacing w:after="120"/>
        <w:ind w:left="-993" w:right="-164"/>
        <w:rPr>
          <w:rFonts w:ascii="Times New Roman" w:hAnsi="Times New Roman"/>
        </w:rPr>
      </w:pPr>
      <w:r>
        <w:rPr>
          <w:rFonts w:ascii="Times New Roman" w:hAnsi="Times New Roman"/>
        </w:rPr>
        <w:t xml:space="preserve">Dear </w:t>
      </w:r>
      <w:r w:rsidR="00267255">
        <w:rPr>
          <w:rFonts w:ascii="Times New Roman" w:hAnsi="Times New Roman"/>
        </w:rPr>
        <w:t xml:space="preserve">Mr </w:t>
      </w:r>
      <w:r w:rsidR="00FD30B6">
        <w:rPr>
          <w:rFonts w:ascii="Times New Roman" w:hAnsi="Times New Roman"/>
        </w:rPr>
        <w:t>Gaudion</w:t>
      </w:r>
      <w:r>
        <w:rPr>
          <w:rFonts w:ascii="Times New Roman" w:hAnsi="Times New Roman"/>
        </w:rPr>
        <w:t>,</w:t>
      </w:r>
    </w:p>
    <w:p w14:paraId="4369D6FF" w14:textId="77777777" w:rsidR="00FD54B1" w:rsidRDefault="00FD54B1" w:rsidP="00C92D87">
      <w:pPr>
        <w:spacing w:after="120"/>
        <w:ind w:left="-993" w:right="-164"/>
        <w:rPr>
          <w:rFonts w:ascii="Times New Roman" w:hAnsi="Times New Roman"/>
        </w:rPr>
      </w:pPr>
      <w:r>
        <w:rPr>
          <w:rFonts w:ascii="Times New Roman" w:hAnsi="Times New Roman"/>
        </w:rPr>
        <w:t xml:space="preserve">Last year, you submitted </w:t>
      </w:r>
      <w:r w:rsidR="00FD30B6">
        <w:rPr>
          <w:rFonts w:ascii="Times New Roman" w:hAnsi="Times New Roman"/>
        </w:rPr>
        <w:t>a site at Mannez Quarry</w:t>
      </w:r>
      <w:r>
        <w:rPr>
          <w:rFonts w:ascii="Times New Roman" w:hAnsi="Times New Roman"/>
        </w:rPr>
        <w:t xml:space="preserve"> to the </w:t>
      </w:r>
      <w:r w:rsidR="00075DA1" w:rsidRPr="00075DA1">
        <w:rPr>
          <w:rFonts w:ascii="Times New Roman" w:hAnsi="Times New Roman"/>
        </w:rPr>
        <w:t>Building and Development Control</w:t>
      </w:r>
      <w:r w:rsidR="00075DA1">
        <w:rPr>
          <w:rFonts w:ascii="Times New Roman" w:hAnsi="Times New Roman"/>
        </w:rPr>
        <w:t xml:space="preserve"> </w:t>
      </w:r>
      <w:r w:rsidR="00075DA1" w:rsidRPr="00075DA1">
        <w:rPr>
          <w:rFonts w:ascii="Times New Roman" w:hAnsi="Times New Roman"/>
        </w:rPr>
        <w:t>Committee</w:t>
      </w:r>
      <w:r w:rsidR="00075DA1">
        <w:rPr>
          <w:rFonts w:ascii="Times New Roman" w:hAnsi="Times New Roman"/>
        </w:rPr>
        <w:t xml:space="preserve">’s </w:t>
      </w:r>
      <w:r w:rsidR="00075DA1" w:rsidRPr="00075DA1">
        <w:rPr>
          <w:rFonts w:ascii="Times New Roman" w:hAnsi="Times New Roman"/>
        </w:rPr>
        <w:t>Call for Sites</w:t>
      </w:r>
      <w:r w:rsidR="00075DA1">
        <w:rPr>
          <w:rFonts w:ascii="Times New Roman" w:hAnsi="Times New Roman"/>
        </w:rPr>
        <w:t>, with the proposed use of:</w:t>
      </w:r>
    </w:p>
    <w:p w14:paraId="4E69DAD7" w14:textId="77777777" w:rsidR="00FD30B6" w:rsidRDefault="00FD30B6" w:rsidP="00FD30B6">
      <w:pPr>
        <w:spacing w:after="120"/>
        <w:ind w:right="-164"/>
        <w:rPr>
          <w:rFonts w:ascii="Times New Roman" w:hAnsi="Times New Roman"/>
          <w:b/>
        </w:rPr>
      </w:pPr>
      <w:r>
        <w:rPr>
          <w:rFonts w:ascii="Times New Roman" w:hAnsi="Times New Roman"/>
          <w:b/>
        </w:rPr>
        <w:t xml:space="preserve">Future development, </w:t>
      </w:r>
      <w:r w:rsidRPr="00FD30B6">
        <w:rPr>
          <w:rFonts w:ascii="Times New Roman" w:hAnsi="Times New Roman"/>
          <w:b/>
        </w:rPr>
        <w:t>includ</w:t>
      </w:r>
      <w:r>
        <w:rPr>
          <w:rFonts w:ascii="Times New Roman" w:hAnsi="Times New Roman"/>
          <w:b/>
        </w:rPr>
        <w:t>ing</w:t>
      </w:r>
      <w:r w:rsidRPr="00FD30B6">
        <w:rPr>
          <w:rFonts w:ascii="Times New Roman" w:hAnsi="Times New Roman"/>
          <w:b/>
        </w:rPr>
        <w:t xml:space="preserve"> (but not limited to) at least one convertor station</w:t>
      </w:r>
      <w:r>
        <w:rPr>
          <w:rFonts w:ascii="Times New Roman" w:hAnsi="Times New Roman"/>
          <w:b/>
        </w:rPr>
        <w:t xml:space="preserve"> and accommodation of the existing train shelters.</w:t>
      </w:r>
    </w:p>
    <w:p w14:paraId="4DFD51A8" w14:textId="77777777" w:rsidR="00D96D49" w:rsidRDefault="00D96D49" w:rsidP="00FD30B6">
      <w:pPr>
        <w:spacing w:after="120"/>
        <w:ind w:left="-993" w:right="-164"/>
        <w:rPr>
          <w:rFonts w:ascii="Times New Roman" w:hAnsi="Times New Roman"/>
        </w:rPr>
      </w:pPr>
      <w:r>
        <w:rPr>
          <w:rFonts w:ascii="Times New Roman" w:hAnsi="Times New Roman"/>
        </w:rPr>
        <w:t>Your original submission is attached, for your reference.</w:t>
      </w:r>
    </w:p>
    <w:p w14:paraId="0A3274EC" w14:textId="77777777" w:rsidR="00D96D49" w:rsidRPr="00835AD0" w:rsidRDefault="00075DA1" w:rsidP="00C92D87">
      <w:pPr>
        <w:spacing w:after="120"/>
        <w:ind w:left="-993" w:right="-164"/>
        <w:rPr>
          <w:rFonts w:ascii="Times New Roman" w:hAnsi="Times New Roman"/>
        </w:rPr>
      </w:pPr>
      <w:r>
        <w:rPr>
          <w:rFonts w:ascii="Times New Roman" w:hAnsi="Times New Roman"/>
        </w:rPr>
        <w:t xml:space="preserve">In order to undertake the assessment, some additional information </w:t>
      </w:r>
      <w:r w:rsidR="00D96D49">
        <w:rPr>
          <w:rFonts w:ascii="Times New Roman" w:hAnsi="Times New Roman"/>
        </w:rPr>
        <w:t xml:space="preserve">on your </w:t>
      </w:r>
      <w:r w:rsidR="001226A7">
        <w:rPr>
          <w:rFonts w:ascii="Times New Roman" w:hAnsi="Times New Roman"/>
        </w:rPr>
        <w:t>submission</w:t>
      </w:r>
      <w:r>
        <w:rPr>
          <w:rFonts w:ascii="Times New Roman" w:hAnsi="Times New Roman"/>
        </w:rPr>
        <w:t xml:space="preserve"> is required. The information required </w:t>
      </w:r>
      <w:bookmarkStart w:id="0" w:name="QuickMark"/>
      <w:bookmarkEnd w:id="0"/>
      <w:r w:rsidRPr="00835AD0">
        <w:rPr>
          <w:rFonts w:ascii="Times New Roman" w:hAnsi="Times New Roman"/>
        </w:rPr>
        <w:t>is set out in the table below.</w:t>
      </w:r>
    </w:p>
    <w:p w14:paraId="4CBC41DF" w14:textId="77777777" w:rsidR="005A794F" w:rsidRPr="00835AD0" w:rsidRDefault="00075DA1" w:rsidP="00C92D87">
      <w:pPr>
        <w:spacing w:after="120"/>
        <w:ind w:left="-993" w:right="-164"/>
        <w:rPr>
          <w:rFonts w:ascii="Times New Roman" w:hAnsi="Times New Roman"/>
        </w:rPr>
      </w:pPr>
      <w:r w:rsidRPr="00835AD0">
        <w:rPr>
          <w:rFonts w:ascii="Times New Roman" w:hAnsi="Times New Roman"/>
        </w:rPr>
        <w:t xml:space="preserve">Please provide the additional information </w:t>
      </w:r>
      <w:r w:rsidR="00D96D49" w:rsidRPr="00835AD0">
        <w:rPr>
          <w:rFonts w:ascii="Times New Roman" w:hAnsi="Times New Roman"/>
        </w:rPr>
        <w:t xml:space="preserve">either in the </w:t>
      </w:r>
      <w:r w:rsidR="00B07A5B" w:rsidRPr="00835AD0">
        <w:rPr>
          <w:rFonts w:ascii="Times New Roman" w:hAnsi="Times New Roman"/>
        </w:rPr>
        <w:t>table below</w:t>
      </w:r>
      <w:r w:rsidR="00D96D49" w:rsidRPr="00835AD0">
        <w:rPr>
          <w:rFonts w:ascii="Times New Roman" w:hAnsi="Times New Roman"/>
        </w:rPr>
        <w:t xml:space="preserve">, or as a separate document clearly stating which point it refers to. </w:t>
      </w:r>
      <w:r w:rsidR="005A794F" w:rsidRPr="00835AD0">
        <w:rPr>
          <w:rFonts w:ascii="Times New Roman" w:hAnsi="Times New Roman"/>
        </w:rPr>
        <w:t xml:space="preserve">Please </w:t>
      </w:r>
      <w:r w:rsidRPr="00835AD0">
        <w:rPr>
          <w:rFonts w:ascii="Times New Roman" w:hAnsi="Times New Roman"/>
        </w:rPr>
        <w:t>provide the additional information</w:t>
      </w:r>
      <w:r w:rsidR="005A794F" w:rsidRPr="00835AD0">
        <w:rPr>
          <w:rFonts w:ascii="Times New Roman" w:hAnsi="Times New Roman"/>
        </w:rPr>
        <w:t xml:space="preserve"> as fully as possible, as this will greatly help the </w:t>
      </w:r>
      <w:r w:rsidRPr="00835AD0">
        <w:rPr>
          <w:rFonts w:ascii="Times New Roman" w:hAnsi="Times New Roman"/>
        </w:rPr>
        <w:t>assessment</w:t>
      </w:r>
      <w:r w:rsidR="005A794F" w:rsidRPr="00835AD0">
        <w:rPr>
          <w:rFonts w:ascii="Times New Roman" w:hAnsi="Times New Roman"/>
        </w:rPr>
        <w:t xml:space="preserve"> process. </w:t>
      </w:r>
    </w:p>
    <w:p w14:paraId="6D37F46E" w14:textId="0FC3BF5B" w:rsidR="00C92D87" w:rsidRPr="00C92D87" w:rsidRDefault="00C92D87" w:rsidP="00C92D87">
      <w:pPr>
        <w:spacing w:after="120"/>
        <w:ind w:left="-993" w:right="-164"/>
        <w:rPr>
          <w:rFonts w:ascii="Times New Roman" w:hAnsi="Times New Roman"/>
          <w:b/>
        </w:rPr>
      </w:pPr>
      <w:r w:rsidRPr="00835AD0">
        <w:rPr>
          <w:rFonts w:ascii="Times New Roman" w:hAnsi="Times New Roman"/>
          <w:b/>
        </w:rPr>
        <w:t xml:space="preserve">Please return the completed </w:t>
      </w:r>
      <w:r w:rsidR="001226A7" w:rsidRPr="00835AD0">
        <w:rPr>
          <w:rFonts w:ascii="Times New Roman" w:hAnsi="Times New Roman"/>
          <w:b/>
        </w:rPr>
        <w:t>table</w:t>
      </w:r>
      <w:r w:rsidRPr="00835AD0">
        <w:rPr>
          <w:rFonts w:ascii="Times New Roman" w:hAnsi="Times New Roman"/>
          <w:b/>
        </w:rPr>
        <w:t xml:space="preserve"> as soon as possible, and before </w:t>
      </w:r>
      <w:r w:rsidR="00835AD0" w:rsidRPr="00835AD0">
        <w:rPr>
          <w:rFonts w:ascii="Times New Roman" w:hAnsi="Times New Roman"/>
          <w:b/>
        </w:rPr>
        <w:t>Thursday 06</w:t>
      </w:r>
      <w:r w:rsidR="00D419FF" w:rsidRPr="00835AD0">
        <w:rPr>
          <w:rFonts w:ascii="Times New Roman" w:hAnsi="Times New Roman"/>
          <w:b/>
        </w:rPr>
        <w:t xml:space="preserve"> April</w:t>
      </w:r>
      <w:r w:rsidRPr="00835AD0">
        <w:rPr>
          <w:rFonts w:ascii="Times New Roman" w:hAnsi="Times New Roman"/>
          <w:b/>
        </w:rPr>
        <w:t xml:space="preserve"> 2017, to Dan Evans at Arup via </w:t>
      </w:r>
      <w:hyperlink r:id="rId8" w:history="1">
        <w:r w:rsidRPr="00835AD0">
          <w:rPr>
            <w:rStyle w:val="Hyperlink"/>
            <w:rFonts w:ascii="Times New Roman" w:hAnsi="Times New Roman"/>
            <w:b/>
          </w:rPr>
          <w:t>dan.evans@arup.com</w:t>
        </w:r>
      </w:hyperlink>
      <w:r w:rsidRPr="00835AD0">
        <w:rPr>
          <w:rStyle w:val="Hyperlink"/>
          <w:rFonts w:ascii="Times New Roman" w:hAnsi="Times New Roman"/>
          <w:b/>
        </w:rPr>
        <w:t xml:space="preserve"> </w:t>
      </w:r>
      <w:r w:rsidRPr="00835AD0">
        <w:rPr>
          <w:rFonts w:ascii="Times New Roman" w:hAnsi="Times New Roman"/>
          <w:b/>
        </w:rPr>
        <w:t>or 13 Fitzroy Street, London W1T 4BQ.</w:t>
      </w:r>
    </w:p>
    <w:p w14:paraId="16A919CC" w14:textId="77777777" w:rsidR="005A794F" w:rsidRDefault="00B07A5B" w:rsidP="00C92D87">
      <w:pPr>
        <w:spacing w:after="120"/>
        <w:ind w:left="-993" w:right="-306"/>
        <w:rPr>
          <w:rFonts w:ascii="Times New Roman" w:hAnsi="Times New Roman"/>
        </w:rPr>
      </w:pPr>
      <w:r>
        <w:rPr>
          <w:rFonts w:ascii="Times New Roman" w:hAnsi="Times New Roman"/>
        </w:rPr>
        <w:t xml:space="preserve">If </w:t>
      </w:r>
      <w:r w:rsidR="005A794F">
        <w:rPr>
          <w:rFonts w:ascii="Times New Roman" w:hAnsi="Times New Roman"/>
        </w:rPr>
        <w:t xml:space="preserve">you have any questions regarding the completion of this </w:t>
      </w:r>
      <w:r w:rsidR="00FD54B1">
        <w:rPr>
          <w:rFonts w:ascii="Times New Roman" w:hAnsi="Times New Roman"/>
        </w:rPr>
        <w:t>additional request</w:t>
      </w:r>
      <w:r w:rsidR="005A794F">
        <w:rPr>
          <w:rFonts w:ascii="Times New Roman" w:hAnsi="Times New Roman"/>
        </w:rPr>
        <w:t xml:space="preserve"> form, </w:t>
      </w:r>
      <w:r w:rsidR="00D42D2D">
        <w:rPr>
          <w:rFonts w:ascii="Times New Roman" w:hAnsi="Times New Roman"/>
        </w:rPr>
        <w:t xml:space="preserve">please contact </w:t>
      </w:r>
      <w:r w:rsidR="00FD54B1">
        <w:rPr>
          <w:rFonts w:ascii="Times New Roman" w:hAnsi="Times New Roman"/>
        </w:rPr>
        <w:t xml:space="preserve">Dan Evans via </w:t>
      </w:r>
      <w:hyperlink r:id="rId9" w:history="1">
        <w:r w:rsidR="00FD54B1" w:rsidRPr="00F224D4">
          <w:rPr>
            <w:rStyle w:val="Hyperlink"/>
            <w:rFonts w:ascii="Times New Roman" w:hAnsi="Times New Roman"/>
          </w:rPr>
          <w:t>dan.evans@arup.com</w:t>
        </w:r>
      </w:hyperlink>
      <w:r w:rsidR="00FD54B1">
        <w:rPr>
          <w:rFonts w:ascii="Times New Roman" w:hAnsi="Times New Roman"/>
        </w:rPr>
        <w:t xml:space="preserve"> or 020 7755 4544</w:t>
      </w:r>
      <w:r w:rsidR="005A794F">
        <w:rPr>
          <w:rFonts w:ascii="Times New Roman" w:hAnsi="Times New Roman"/>
        </w:rPr>
        <w:t>.</w:t>
      </w:r>
      <w:r w:rsidR="005A794F" w:rsidRPr="005A794F">
        <w:rPr>
          <w:rFonts w:ascii="Times New Roman" w:hAnsi="Times New Roman"/>
        </w:rPr>
        <w:t xml:space="preserve"> </w:t>
      </w:r>
    </w:p>
    <w:p w14:paraId="704F6812" w14:textId="77777777" w:rsidR="001226A7" w:rsidRDefault="001226A7" w:rsidP="00C92D87">
      <w:pPr>
        <w:spacing w:after="120"/>
        <w:ind w:left="-993" w:right="-306"/>
        <w:rPr>
          <w:rFonts w:ascii="Times New Roman" w:hAnsi="Times New Roman"/>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5387"/>
      </w:tblGrid>
      <w:tr w:rsidR="00B07A5B" w:rsidRPr="0089205B" w14:paraId="33CCA570" w14:textId="77777777" w:rsidTr="00B07A5B">
        <w:tc>
          <w:tcPr>
            <w:tcW w:w="567" w:type="dxa"/>
            <w:tcBorders>
              <w:top w:val="single" w:sz="4" w:space="0" w:color="auto"/>
              <w:left w:val="single" w:sz="4" w:space="0" w:color="auto"/>
              <w:right w:val="single" w:sz="4" w:space="0" w:color="auto"/>
            </w:tcBorders>
            <w:shd w:val="clear" w:color="auto" w:fill="00B050"/>
          </w:tcPr>
          <w:p w14:paraId="315866E3" w14:textId="77777777" w:rsidR="00B07A5B" w:rsidRPr="00D96D49" w:rsidRDefault="00B07A5B" w:rsidP="00B07A5B">
            <w:pPr>
              <w:spacing w:before="60" w:after="60" w:line="240" w:lineRule="auto"/>
              <w:rPr>
                <w:rFonts w:ascii="Times New Roman" w:hAnsi="Times New Roman"/>
                <w:b/>
                <w:color w:val="FFFFFF" w:themeColor="background1"/>
              </w:rPr>
            </w:pPr>
            <w:r>
              <w:rPr>
                <w:rFonts w:ascii="Times New Roman" w:hAnsi="Times New Roman"/>
                <w:b/>
                <w:color w:val="FFFFFF" w:themeColor="background1"/>
              </w:rPr>
              <w:t>No.</w:t>
            </w:r>
          </w:p>
        </w:tc>
        <w:tc>
          <w:tcPr>
            <w:tcW w:w="4962" w:type="dxa"/>
            <w:tcBorders>
              <w:top w:val="single" w:sz="4" w:space="0" w:color="auto"/>
              <w:left w:val="single" w:sz="4" w:space="0" w:color="auto"/>
              <w:right w:val="single" w:sz="4" w:space="0" w:color="auto"/>
            </w:tcBorders>
            <w:shd w:val="clear" w:color="auto" w:fill="00B050"/>
          </w:tcPr>
          <w:p w14:paraId="276FDF1E" w14:textId="77777777" w:rsidR="00B07A5B" w:rsidRPr="00D96D49" w:rsidRDefault="00B07A5B" w:rsidP="00B07A5B">
            <w:pPr>
              <w:spacing w:before="60" w:after="60" w:line="240" w:lineRule="auto"/>
              <w:rPr>
                <w:rFonts w:ascii="Times New Roman" w:hAnsi="Times New Roman"/>
                <w:b/>
                <w:color w:val="FFFFFF" w:themeColor="background1"/>
              </w:rPr>
            </w:pPr>
            <w:r w:rsidRPr="00D96D49">
              <w:rPr>
                <w:rFonts w:ascii="Times New Roman" w:hAnsi="Times New Roman"/>
                <w:b/>
                <w:color w:val="FFFFFF" w:themeColor="background1"/>
              </w:rPr>
              <w:t>Further information requ</w:t>
            </w:r>
            <w:r>
              <w:rPr>
                <w:rFonts w:ascii="Times New Roman" w:hAnsi="Times New Roman"/>
                <w:b/>
                <w:color w:val="FFFFFF" w:themeColor="background1"/>
              </w:rPr>
              <w:t>ested</w:t>
            </w:r>
          </w:p>
        </w:tc>
        <w:tc>
          <w:tcPr>
            <w:tcW w:w="5387" w:type="dxa"/>
            <w:tcBorders>
              <w:top w:val="single" w:sz="4" w:space="0" w:color="auto"/>
              <w:left w:val="single" w:sz="4" w:space="0" w:color="auto"/>
              <w:right w:val="single" w:sz="4" w:space="0" w:color="auto"/>
            </w:tcBorders>
            <w:shd w:val="clear" w:color="auto" w:fill="00B050"/>
          </w:tcPr>
          <w:p w14:paraId="09CF54C6" w14:textId="77777777" w:rsidR="00B07A5B" w:rsidRDefault="00B07A5B" w:rsidP="00D96D49">
            <w:pPr>
              <w:spacing w:before="60" w:after="60" w:line="240" w:lineRule="auto"/>
              <w:rPr>
                <w:rFonts w:ascii="Times New Roman" w:hAnsi="Times New Roman"/>
                <w:b/>
                <w:color w:val="FFFFFF" w:themeColor="background1"/>
              </w:rPr>
            </w:pPr>
            <w:r w:rsidRPr="00D96D49">
              <w:rPr>
                <w:rFonts w:ascii="Times New Roman" w:hAnsi="Times New Roman"/>
                <w:b/>
                <w:color w:val="FFFFFF" w:themeColor="background1"/>
              </w:rPr>
              <w:t>Response</w:t>
            </w:r>
          </w:p>
          <w:p w14:paraId="71F3DF5B" w14:textId="77777777" w:rsidR="00B07A5B" w:rsidRPr="00D96D49" w:rsidRDefault="00B07A5B" w:rsidP="00D96D49">
            <w:pPr>
              <w:spacing w:before="60" w:after="60" w:line="240" w:lineRule="auto"/>
              <w:rPr>
                <w:rFonts w:ascii="Times New Roman" w:hAnsi="Times New Roman"/>
                <w:color w:val="FFFFFF" w:themeColor="background1"/>
              </w:rPr>
            </w:pPr>
            <w:r w:rsidRPr="00D96D49">
              <w:rPr>
                <w:rFonts w:ascii="Times New Roman" w:hAnsi="Times New Roman"/>
                <w:color w:val="FFFFFF" w:themeColor="background1"/>
              </w:rPr>
              <w:t>(If providing separate documents, please clearly state which point(s) they refer to.)</w:t>
            </w:r>
          </w:p>
        </w:tc>
      </w:tr>
      <w:tr w:rsidR="00172D8D" w:rsidRPr="0089205B" w14:paraId="2A43BF57" w14:textId="77777777" w:rsidTr="00B07A5B">
        <w:tc>
          <w:tcPr>
            <w:tcW w:w="567" w:type="dxa"/>
            <w:tcBorders>
              <w:left w:val="single" w:sz="4" w:space="0" w:color="auto"/>
            </w:tcBorders>
            <w:shd w:val="clear" w:color="auto" w:fill="D9D9D9"/>
          </w:tcPr>
          <w:p w14:paraId="4CF38B6F" w14:textId="77777777" w:rsidR="00172D8D" w:rsidRPr="00CB054D" w:rsidRDefault="00172D8D" w:rsidP="00172D8D">
            <w:pPr>
              <w:spacing w:before="60" w:after="60" w:line="240" w:lineRule="auto"/>
              <w:rPr>
                <w:rFonts w:ascii="Times New Roman" w:hAnsi="Times New Roman"/>
                <w:b/>
              </w:rPr>
            </w:pPr>
            <w:r w:rsidRPr="00CB054D">
              <w:rPr>
                <w:rFonts w:ascii="Times New Roman" w:hAnsi="Times New Roman"/>
                <w:b/>
              </w:rPr>
              <w:t>1.</w:t>
            </w:r>
          </w:p>
        </w:tc>
        <w:tc>
          <w:tcPr>
            <w:tcW w:w="4962" w:type="dxa"/>
            <w:tcBorders>
              <w:left w:val="single" w:sz="4" w:space="0" w:color="auto"/>
            </w:tcBorders>
            <w:shd w:val="clear" w:color="auto" w:fill="D9D9D9"/>
          </w:tcPr>
          <w:p w14:paraId="363901AF" w14:textId="384E4D3C" w:rsidR="00172D8D" w:rsidRPr="00FD30B6" w:rsidRDefault="00172D8D" w:rsidP="00D07849">
            <w:pPr>
              <w:spacing w:before="60" w:after="60" w:line="240" w:lineRule="auto"/>
              <w:rPr>
                <w:rFonts w:ascii="Times New Roman" w:hAnsi="Times New Roman"/>
              </w:rPr>
            </w:pPr>
            <w:r w:rsidRPr="00FD30B6">
              <w:rPr>
                <w:rFonts w:ascii="Times New Roman" w:hAnsi="Times New Roman"/>
              </w:rPr>
              <w:t xml:space="preserve">Further information on </w:t>
            </w:r>
            <w:r>
              <w:rPr>
                <w:rFonts w:ascii="Times New Roman" w:hAnsi="Times New Roman"/>
              </w:rPr>
              <w:t xml:space="preserve">the development proposal, </w:t>
            </w:r>
            <w:r w:rsidRPr="00FD30B6">
              <w:rPr>
                <w:rFonts w:ascii="Times New Roman" w:hAnsi="Times New Roman"/>
              </w:rPr>
              <w:t>including</w:t>
            </w:r>
            <w:r>
              <w:rPr>
                <w:rFonts w:ascii="Times New Roman" w:hAnsi="Times New Roman"/>
              </w:rPr>
              <w:t>:</w:t>
            </w:r>
            <w:r w:rsidRPr="00FD30B6">
              <w:rPr>
                <w:rFonts w:ascii="Times New Roman" w:hAnsi="Times New Roman"/>
              </w:rPr>
              <w:t xml:space="preserve"> the number and scale (height</w:t>
            </w:r>
            <w:r w:rsidR="003946D3">
              <w:rPr>
                <w:rFonts w:ascii="Times New Roman" w:hAnsi="Times New Roman"/>
              </w:rPr>
              <w:t>, width, volume</w:t>
            </w:r>
            <w:r w:rsidRPr="00FD30B6">
              <w:rPr>
                <w:rFonts w:ascii="Times New Roman" w:hAnsi="Times New Roman"/>
              </w:rPr>
              <w:t>) of the proposed building</w:t>
            </w:r>
            <w:r>
              <w:rPr>
                <w:rFonts w:ascii="Times New Roman" w:hAnsi="Times New Roman"/>
              </w:rPr>
              <w:t>(</w:t>
            </w:r>
            <w:r w:rsidRPr="00FD30B6">
              <w:rPr>
                <w:rFonts w:ascii="Times New Roman" w:hAnsi="Times New Roman"/>
              </w:rPr>
              <w:t>s</w:t>
            </w:r>
            <w:r>
              <w:rPr>
                <w:rFonts w:ascii="Times New Roman" w:hAnsi="Times New Roman"/>
              </w:rPr>
              <w:t xml:space="preserve">), </w:t>
            </w:r>
            <w:r w:rsidRPr="00FD30B6">
              <w:rPr>
                <w:rFonts w:ascii="Times New Roman" w:hAnsi="Times New Roman"/>
              </w:rPr>
              <w:t xml:space="preserve">their siting </w:t>
            </w:r>
            <w:r w:rsidR="003946D3">
              <w:rPr>
                <w:rFonts w:ascii="Times New Roman" w:hAnsi="Times New Roman"/>
              </w:rPr>
              <w:t xml:space="preserve">(massing and/or spacing/separation) </w:t>
            </w:r>
            <w:r w:rsidRPr="00FD30B6">
              <w:rPr>
                <w:rFonts w:ascii="Times New Roman" w:hAnsi="Times New Roman"/>
              </w:rPr>
              <w:t>within the context of the wider site area;</w:t>
            </w:r>
            <w:r w:rsidR="00C86317">
              <w:rPr>
                <w:rFonts w:ascii="Times New Roman" w:hAnsi="Times New Roman"/>
              </w:rPr>
              <w:t xml:space="preserve"> and the operational parameters</w:t>
            </w:r>
            <w:r w:rsidR="00D07849">
              <w:rPr>
                <w:rFonts w:ascii="Times New Roman" w:hAnsi="Times New Roman"/>
              </w:rPr>
              <w:t xml:space="preserve"> for the scheme (e.g. will the converter station be operational 24 hours a day, 7 days a week and what are the anticipated environmental effects from the development).</w:t>
            </w:r>
            <w:r w:rsidRPr="00FD30B6">
              <w:rPr>
                <w:rFonts w:ascii="Times New Roman" w:hAnsi="Times New Roman"/>
              </w:rPr>
              <w:t xml:space="preserve">  </w:t>
            </w:r>
          </w:p>
        </w:tc>
        <w:tc>
          <w:tcPr>
            <w:tcW w:w="5387" w:type="dxa"/>
            <w:tcBorders>
              <w:right w:val="single" w:sz="4" w:space="0" w:color="auto"/>
            </w:tcBorders>
            <w:shd w:val="clear" w:color="auto" w:fill="auto"/>
          </w:tcPr>
          <w:p w14:paraId="53F5441E" w14:textId="0692F456" w:rsidR="005E37B9" w:rsidRDefault="00E76195" w:rsidP="00172D8D">
            <w:pPr>
              <w:spacing w:before="60" w:after="60" w:line="240" w:lineRule="auto"/>
              <w:rPr>
                <w:rFonts w:ascii="Times New Roman" w:hAnsi="Times New Roman"/>
              </w:rPr>
            </w:pPr>
            <w:r>
              <w:rPr>
                <w:rFonts w:ascii="Times New Roman" w:hAnsi="Times New Roman"/>
              </w:rPr>
              <w:t>See attached</w:t>
            </w:r>
            <w:r w:rsidR="005E37B9">
              <w:rPr>
                <w:rFonts w:ascii="Times New Roman" w:hAnsi="Times New Roman"/>
              </w:rPr>
              <w:t xml:space="preserve"> high level information of how </w:t>
            </w:r>
            <w:r w:rsidR="00E32320">
              <w:rPr>
                <w:rFonts w:ascii="Times New Roman" w:hAnsi="Times New Roman"/>
              </w:rPr>
              <w:t>the site could potentially look.</w:t>
            </w:r>
            <w:r w:rsidR="00224DD6">
              <w:rPr>
                <w:rFonts w:ascii="Times New Roman" w:hAnsi="Times New Roman"/>
              </w:rPr>
              <w:t xml:space="preserve"> These are for indicative purposes only and n</w:t>
            </w:r>
            <w:r w:rsidR="00E32320">
              <w:rPr>
                <w:rFonts w:ascii="Times New Roman" w:hAnsi="Times New Roman"/>
              </w:rPr>
              <w:t>o landscaping plans are provided at this stage.</w:t>
            </w:r>
          </w:p>
          <w:p w14:paraId="479A1137" w14:textId="3C57778F" w:rsidR="005E37B9" w:rsidRDefault="00E76195" w:rsidP="00E76195">
            <w:pPr>
              <w:pStyle w:val="ListParagraph"/>
              <w:numPr>
                <w:ilvl w:val="0"/>
                <w:numId w:val="29"/>
              </w:numPr>
              <w:spacing w:before="60" w:after="60" w:line="240" w:lineRule="auto"/>
              <w:rPr>
                <w:rFonts w:ascii="Times New Roman" w:hAnsi="Times New Roman"/>
              </w:rPr>
            </w:pPr>
            <w:r>
              <w:rPr>
                <w:rFonts w:ascii="Times New Roman" w:hAnsi="Times New Roman"/>
              </w:rPr>
              <w:t xml:space="preserve">x </w:t>
            </w:r>
            <w:r w:rsidR="003B7712">
              <w:rPr>
                <w:rFonts w:ascii="Times New Roman" w:hAnsi="Times New Roman"/>
              </w:rPr>
              <w:t>Potential site plan</w:t>
            </w:r>
          </w:p>
          <w:p w14:paraId="0F6DE482" w14:textId="02926BF0" w:rsidR="005E37B9" w:rsidRPr="003B7712" w:rsidRDefault="00E76195" w:rsidP="003B7712">
            <w:pPr>
              <w:pStyle w:val="ListParagraph"/>
              <w:numPr>
                <w:ilvl w:val="0"/>
                <w:numId w:val="29"/>
              </w:numPr>
              <w:spacing w:before="60" w:after="60" w:line="240" w:lineRule="auto"/>
              <w:rPr>
                <w:rFonts w:ascii="Times New Roman" w:hAnsi="Times New Roman"/>
              </w:rPr>
            </w:pPr>
            <w:r>
              <w:rPr>
                <w:rFonts w:ascii="Times New Roman" w:hAnsi="Times New Roman"/>
              </w:rPr>
              <w:t xml:space="preserve">x </w:t>
            </w:r>
            <w:r w:rsidR="003B7712">
              <w:rPr>
                <w:rFonts w:ascii="Times New Roman" w:hAnsi="Times New Roman"/>
              </w:rPr>
              <w:t>Section plans.</w:t>
            </w:r>
          </w:p>
          <w:p w14:paraId="75C3DFC6" w14:textId="23C937E8" w:rsidR="005E37B9" w:rsidRDefault="005E37B9" w:rsidP="005E37B9">
            <w:pPr>
              <w:spacing w:before="60" w:after="60" w:line="240" w:lineRule="auto"/>
              <w:rPr>
                <w:rFonts w:ascii="Times New Roman" w:hAnsi="Times New Roman"/>
              </w:rPr>
            </w:pPr>
            <w:r>
              <w:rPr>
                <w:rFonts w:ascii="Times New Roman" w:hAnsi="Times New Roman"/>
              </w:rPr>
              <w:t xml:space="preserve">Please note that no detailed planning has been made at this time. A full planning application would be </w:t>
            </w:r>
            <w:r w:rsidR="00E32320">
              <w:rPr>
                <w:rFonts w:ascii="Times New Roman" w:hAnsi="Times New Roman"/>
              </w:rPr>
              <w:t>made within the framework of a pre</w:t>
            </w:r>
            <w:r w:rsidR="00790072">
              <w:rPr>
                <w:rFonts w:ascii="Times New Roman" w:hAnsi="Times New Roman"/>
              </w:rPr>
              <w:t>-</w:t>
            </w:r>
            <w:r w:rsidR="00E32320">
              <w:rPr>
                <w:rFonts w:ascii="Times New Roman" w:hAnsi="Times New Roman"/>
              </w:rPr>
              <w:t>planning a</w:t>
            </w:r>
            <w:r>
              <w:rPr>
                <w:rFonts w:ascii="Times New Roman" w:hAnsi="Times New Roman"/>
              </w:rPr>
              <w:t>pplication process once the site is re-designated.</w:t>
            </w:r>
            <w:r w:rsidR="00441C19">
              <w:rPr>
                <w:rFonts w:ascii="Times New Roman" w:hAnsi="Times New Roman"/>
              </w:rPr>
              <w:t xml:space="preserve"> As part of the pre-planning scoping we will present and invite BDCC comment on how potential environmental and operational impacts will be assessed and mitigated.</w:t>
            </w:r>
            <w:r>
              <w:rPr>
                <w:rFonts w:ascii="Times New Roman" w:hAnsi="Times New Roman"/>
              </w:rPr>
              <w:t xml:space="preserve"> All</w:t>
            </w:r>
            <w:r w:rsidR="00441C19">
              <w:rPr>
                <w:rFonts w:ascii="Times New Roman" w:hAnsi="Times New Roman"/>
              </w:rPr>
              <w:t xml:space="preserve"> potential effects of the development would then be available for consideration through this process. </w:t>
            </w:r>
            <w:r>
              <w:rPr>
                <w:rFonts w:ascii="Times New Roman" w:hAnsi="Times New Roman"/>
              </w:rPr>
              <w:t xml:space="preserve"> </w:t>
            </w:r>
          </w:p>
          <w:p w14:paraId="440260AE" w14:textId="6F0FE3FE" w:rsidR="005E37B9" w:rsidRPr="005E37B9" w:rsidRDefault="005E37B9" w:rsidP="005E37B9">
            <w:pPr>
              <w:spacing w:before="60" w:after="60" w:line="240" w:lineRule="auto"/>
              <w:rPr>
                <w:rFonts w:ascii="Times New Roman" w:hAnsi="Times New Roman"/>
              </w:rPr>
            </w:pPr>
          </w:p>
        </w:tc>
      </w:tr>
      <w:tr w:rsidR="00172D8D" w:rsidRPr="0089205B" w14:paraId="0C54FCDD" w14:textId="77777777" w:rsidTr="00B07A5B">
        <w:tc>
          <w:tcPr>
            <w:tcW w:w="567" w:type="dxa"/>
            <w:tcBorders>
              <w:left w:val="single" w:sz="4" w:space="0" w:color="auto"/>
            </w:tcBorders>
            <w:shd w:val="clear" w:color="auto" w:fill="D9D9D9"/>
          </w:tcPr>
          <w:p w14:paraId="04103511" w14:textId="363A20FA" w:rsidR="00172D8D" w:rsidRPr="00CB054D" w:rsidRDefault="00172D8D" w:rsidP="00172D8D">
            <w:pPr>
              <w:spacing w:before="60" w:after="60" w:line="240" w:lineRule="auto"/>
              <w:rPr>
                <w:rFonts w:ascii="Times New Roman" w:hAnsi="Times New Roman"/>
                <w:b/>
              </w:rPr>
            </w:pPr>
          </w:p>
        </w:tc>
        <w:tc>
          <w:tcPr>
            <w:tcW w:w="4962" w:type="dxa"/>
            <w:tcBorders>
              <w:left w:val="single" w:sz="4" w:space="0" w:color="auto"/>
            </w:tcBorders>
            <w:shd w:val="clear" w:color="auto" w:fill="D9D9D9"/>
          </w:tcPr>
          <w:p w14:paraId="7CD07316" w14:textId="2EF5D103" w:rsidR="00172D8D" w:rsidRPr="00FD30B6" w:rsidRDefault="00172D8D" w:rsidP="00466B55">
            <w:pPr>
              <w:spacing w:before="60" w:after="60" w:line="240" w:lineRule="auto"/>
              <w:rPr>
                <w:rFonts w:ascii="Times New Roman" w:hAnsi="Times New Roman"/>
              </w:rPr>
            </w:pPr>
            <w:r>
              <w:rPr>
                <w:rFonts w:ascii="Times New Roman" w:hAnsi="Times New Roman"/>
              </w:rPr>
              <w:t>F</w:t>
            </w:r>
            <w:r w:rsidRPr="00D419FF">
              <w:rPr>
                <w:rFonts w:ascii="Times New Roman" w:hAnsi="Times New Roman"/>
              </w:rPr>
              <w:t xml:space="preserve">urther justification </w:t>
            </w:r>
            <w:r>
              <w:rPr>
                <w:rFonts w:ascii="Times New Roman" w:hAnsi="Times New Roman"/>
              </w:rPr>
              <w:t>for the need for the scheme. Whilst the documents submitted contain information on harnessing tidal energy within Alderney’s territorial waters, information has not been submitted about why a converter station is required</w:t>
            </w:r>
            <w:r w:rsidR="00466B55">
              <w:rPr>
                <w:rFonts w:ascii="Times New Roman" w:hAnsi="Times New Roman"/>
              </w:rPr>
              <w:t xml:space="preserve"> and what benefits it will bring to</w:t>
            </w:r>
            <w:r w:rsidR="003946D3">
              <w:rPr>
                <w:rFonts w:ascii="Times New Roman" w:hAnsi="Times New Roman"/>
              </w:rPr>
              <w:t xml:space="preserve"> </w:t>
            </w:r>
            <w:r w:rsidR="00466B55">
              <w:rPr>
                <w:rFonts w:ascii="Times New Roman" w:hAnsi="Times New Roman"/>
              </w:rPr>
              <w:t>Alderney</w:t>
            </w:r>
            <w:r>
              <w:rPr>
                <w:rFonts w:ascii="Times New Roman" w:hAnsi="Times New Roman"/>
              </w:rPr>
              <w:t xml:space="preserve">. </w:t>
            </w:r>
          </w:p>
        </w:tc>
        <w:tc>
          <w:tcPr>
            <w:tcW w:w="5387" w:type="dxa"/>
            <w:tcBorders>
              <w:right w:val="single" w:sz="4" w:space="0" w:color="auto"/>
            </w:tcBorders>
            <w:shd w:val="clear" w:color="auto" w:fill="auto"/>
          </w:tcPr>
          <w:p w14:paraId="398CAC6A" w14:textId="10A2A070" w:rsidR="00172D8D" w:rsidRDefault="00E424F3" w:rsidP="00172D8D">
            <w:pPr>
              <w:spacing w:before="60" w:after="60" w:line="240" w:lineRule="auto"/>
              <w:rPr>
                <w:rFonts w:ascii="Times New Roman" w:hAnsi="Times New Roman"/>
              </w:rPr>
            </w:pPr>
            <w:r>
              <w:rPr>
                <w:rFonts w:ascii="Times New Roman" w:hAnsi="Times New Roman"/>
              </w:rPr>
              <w:t>A convertor station will be r</w:t>
            </w:r>
            <w:r w:rsidR="00D73474">
              <w:rPr>
                <w:rFonts w:ascii="Times New Roman" w:hAnsi="Times New Roman"/>
              </w:rPr>
              <w:t>equired to enable the export</w:t>
            </w:r>
            <w:r>
              <w:rPr>
                <w:rFonts w:ascii="Times New Roman" w:hAnsi="Times New Roman"/>
              </w:rPr>
              <w:t xml:space="preserve"> of marine renewable energy from projects in </w:t>
            </w:r>
            <w:r w:rsidR="008F2943">
              <w:rPr>
                <w:rFonts w:ascii="Times New Roman" w:hAnsi="Times New Roman"/>
              </w:rPr>
              <w:t>Alderney’s</w:t>
            </w:r>
            <w:r>
              <w:rPr>
                <w:rFonts w:ascii="Times New Roman" w:hAnsi="Times New Roman"/>
              </w:rPr>
              <w:t xml:space="preserve"> waters.</w:t>
            </w:r>
          </w:p>
          <w:p w14:paraId="13E22E3B" w14:textId="2D8794AB" w:rsidR="00E424F3" w:rsidRDefault="00E424F3" w:rsidP="00172D8D">
            <w:pPr>
              <w:spacing w:before="60" w:after="60" w:line="240" w:lineRule="auto"/>
              <w:rPr>
                <w:rFonts w:ascii="Times New Roman" w:hAnsi="Times New Roman"/>
              </w:rPr>
            </w:pPr>
            <w:r>
              <w:rPr>
                <w:rFonts w:ascii="Times New Roman" w:hAnsi="Times New Roman"/>
              </w:rPr>
              <w:t>Excluding the benefits to the economy of construction, operation, maintenance</w:t>
            </w:r>
            <w:r w:rsidR="00E32320">
              <w:rPr>
                <w:rFonts w:ascii="Times New Roman" w:hAnsi="Times New Roman"/>
              </w:rPr>
              <w:t>, site rental and tourism,</w:t>
            </w:r>
            <w:r>
              <w:rPr>
                <w:rFonts w:ascii="Times New Roman" w:hAnsi="Times New Roman"/>
              </w:rPr>
              <w:t xml:space="preserve"> the main benefits to the island are;</w:t>
            </w:r>
          </w:p>
          <w:p w14:paraId="7A40D35F" w14:textId="684F160C" w:rsidR="00E424F3" w:rsidRDefault="00E32320" w:rsidP="00E424F3">
            <w:pPr>
              <w:pStyle w:val="ListParagraph"/>
              <w:numPr>
                <w:ilvl w:val="0"/>
                <w:numId w:val="30"/>
              </w:numPr>
              <w:spacing w:before="60" w:after="60" w:line="240" w:lineRule="auto"/>
              <w:rPr>
                <w:rFonts w:ascii="Times New Roman" w:hAnsi="Times New Roman"/>
              </w:rPr>
            </w:pPr>
            <w:r>
              <w:rPr>
                <w:rFonts w:ascii="Times New Roman" w:hAnsi="Times New Roman"/>
              </w:rPr>
              <w:t>Payment of g</w:t>
            </w:r>
            <w:r w:rsidR="00E424F3">
              <w:rPr>
                <w:rFonts w:ascii="Times New Roman" w:hAnsi="Times New Roman"/>
              </w:rPr>
              <w:t>eneration fees</w:t>
            </w:r>
            <w:r>
              <w:rPr>
                <w:rFonts w:ascii="Times New Roman" w:hAnsi="Times New Roman"/>
              </w:rPr>
              <w:t xml:space="preserve"> on power produced by tidal projects</w:t>
            </w:r>
            <w:r w:rsidR="00634B17">
              <w:rPr>
                <w:rFonts w:ascii="Times New Roman" w:hAnsi="Times New Roman"/>
              </w:rPr>
              <w:t xml:space="preserve"> (in accordance with commercial arrangements with the States of Alderney)</w:t>
            </w:r>
          </w:p>
          <w:p w14:paraId="4F124CCF" w14:textId="77777777" w:rsidR="00634B17" w:rsidRDefault="00634B17" w:rsidP="00E424F3">
            <w:pPr>
              <w:pStyle w:val="ListParagraph"/>
              <w:numPr>
                <w:ilvl w:val="0"/>
                <w:numId w:val="30"/>
              </w:numPr>
              <w:spacing w:before="60" w:after="60" w:line="240" w:lineRule="auto"/>
              <w:rPr>
                <w:rFonts w:ascii="Times New Roman" w:hAnsi="Times New Roman"/>
              </w:rPr>
            </w:pPr>
            <w:r>
              <w:rPr>
                <w:rFonts w:ascii="Times New Roman" w:hAnsi="Times New Roman"/>
              </w:rPr>
              <w:lastRenderedPageBreak/>
              <w:t>Ability for Alderney Electricity Ltd</w:t>
            </w:r>
            <w:r w:rsidR="00E32320">
              <w:rPr>
                <w:rFonts w:ascii="Times New Roman" w:hAnsi="Times New Roman"/>
              </w:rPr>
              <w:t xml:space="preserve"> (AEL)</w:t>
            </w:r>
            <w:r>
              <w:rPr>
                <w:rFonts w:ascii="Times New Roman" w:hAnsi="Times New Roman"/>
              </w:rPr>
              <w:t xml:space="preserve"> to access </w:t>
            </w:r>
            <w:r w:rsidR="008F2943">
              <w:rPr>
                <w:rFonts w:ascii="Times New Roman" w:hAnsi="Times New Roman"/>
              </w:rPr>
              <w:t>European</w:t>
            </w:r>
            <w:r>
              <w:rPr>
                <w:rFonts w:ascii="Times New Roman" w:hAnsi="Times New Roman"/>
              </w:rPr>
              <w:t xml:space="preserve"> priced power from FAB Link cable (assumed</w:t>
            </w:r>
            <w:r w:rsidR="00E32320">
              <w:rPr>
                <w:rFonts w:ascii="Times New Roman" w:hAnsi="Times New Roman"/>
              </w:rPr>
              <w:t xml:space="preserve"> AEL will have similar arrangements to Guernsey/Jersey</w:t>
            </w:r>
            <w:r w:rsidR="00470C64">
              <w:rPr>
                <w:rFonts w:ascii="Times New Roman" w:hAnsi="Times New Roman"/>
              </w:rPr>
              <w:t xml:space="preserve"> with their existing interconnection to France. This</w:t>
            </w:r>
            <w:r>
              <w:rPr>
                <w:rFonts w:ascii="Times New Roman" w:hAnsi="Times New Roman"/>
              </w:rPr>
              <w:t xml:space="preserve"> is approx. 50</w:t>
            </w:r>
            <w:r w:rsidR="00470C64">
              <w:rPr>
                <w:rFonts w:ascii="Times New Roman" w:hAnsi="Times New Roman"/>
              </w:rPr>
              <w:t>% cheaper than AEL</w:t>
            </w:r>
            <w:r>
              <w:rPr>
                <w:rFonts w:ascii="Times New Roman" w:hAnsi="Times New Roman"/>
              </w:rPr>
              <w:t xml:space="preserve"> diesel generation)</w:t>
            </w:r>
          </w:p>
          <w:p w14:paraId="63DC0FBF" w14:textId="341C6427" w:rsidR="00024A04" w:rsidRPr="00E424F3" w:rsidRDefault="00024A04" w:rsidP="00E424F3">
            <w:pPr>
              <w:pStyle w:val="ListParagraph"/>
              <w:numPr>
                <w:ilvl w:val="0"/>
                <w:numId w:val="30"/>
              </w:numPr>
              <w:spacing w:before="60" w:after="60" w:line="240" w:lineRule="auto"/>
              <w:rPr>
                <w:rFonts w:ascii="Times New Roman" w:hAnsi="Times New Roman"/>
              </w:rPr>
            </w:pPr>
            <w:r>
              <w:rPr>
                <w:rFonts w:ascii="Times New Roman" w:hAnsi="Times New Roman"/>
              </w:rPr>
              <w:t>Provides a positive environment for growing the island economy (</w:t>
            </w:r>
            <w:r w:rsidR="00D769DF">
              <w:rPr>
                <w:rFonts w:ascii="Times New Roman" w:hAnsi="Times New Roman"/>
              </w:rPr>
              <w:t xml:space="preserve">e.g. </w:t>
            </w:r>
            <w:r>
              <w:rPr>
                <w:rFonts w:ascii="Times New Roman" w:hAnsi="Times New Roman"/>
              </w:rPr>
              <w:t>lower energy prices</w:t>
            </w:r>
            <w:r w:rsidR="00D769DF">
              <w:rPr>
                <w:rFonts w:ascii="Times New Roman" w:hAnsi="Times New Roman"/>
              </w:rPr>
              <w:t xml:space="preserve"> and no energy capacity constraints). </w:t>
            </w:r>
            <w:r>
              <w:rPr>
                <w:rFonts w:ascii="Times New Roman" w:hAnsi="Times New Roman"/>
              </w:rPr>
              <w:t xml:space="preserve"> </w:t>
            </w:r>
          </w:p>
        </w:tc>
      </w:tr>
      <w:tr w:rsidR="00172D8D" w:rsidRPr="0089205B" w14:paraId="1D7D8C05" w14:textId="77777777" w:rsidTr="00B07A5B">
        <w:tc>
          <w:tcPr>
            <w:tcW w:w="567" w:type="dxa"/>
            <w:tcBorders>
              <w:left w:val="single" w:sz="4" w:space="0" w:color="auto"/>
            </w:tcBorders>
            <w:shd w:val="clear" w:color="auto" w:fill="D9D9D9"/>
          </w:tcPr>
          <w:p w14:paraId="33756208" w14:textId="23F9E823" w:rsidR="00172D8D" w:rsidRPr="00CB054D" w:rsidRDefault="00172D8D" w:rsidP="00172D8D">
            <w:pPr>
              <w:spacing w:before="60" w:after="60" w:line="240" w:lineRule="auto"/>
              <w:rPr>
                <w:rFonts w:ascii="Times New Roman" w:hAnsi="Times New Roman"/>
                <w:b/>
              </w:rPr>
            </w:pPr>
            <w:r>
              <w:rPr>
                <w:rFonts w:ascii="Times New Roman" w:hAnsi="Times New Roman"/>
                <w:b/>
              </w:rPr>
              <w:lastRenderedPageBreak/>
              <w:t>3</w:t>
            </w:r>
            <w:r w:rsidRPr="00CB054D">
              <w:rPr>
                <w:rFonts w:ascii="Times New Roman" w:hAnsi="Times New Roman"/>
                <w:b/>
              </w:rPr>
              <w:t>.</w:t>
            </w:r>
          </w:p>
        </w:tc>
        <w:tc>
          <w:tcPr>
            <w:tcW w:w="4962" w:type="dxa"/>
            <w:tcBorders>
              <w:left w:val="single" w:sz="4" w:space="0" w:color="auto"/>
            </w:tcBorders>
            <w:shd w:val="clear" w:color="auto" w:fill="D9D9D9"/>
          </w:tcPr>
          <w:p w14:paraId="393EAC24" w14:textId="2FDAC54F" w:rsidR="00172D8D" w:rsidRDefault="00172D8D" w:rsidP="00172D8D">
            <w:pPr>
              <w:spacing w:before="60" w:after="60" w:line="240" w:lineRule="auto"/>
              <w:rPr>
                <w:rFonts w:ascii="Times New Roman" w:hAnsi="Times New Roman"/>
              </w:rPr>
            </w:pPr>
            <w:r w:rsidRPr="00FD30B6">
              <w:rPr>
                <w:rFonts w:ascii="Times New Roman" w:hAnsi="Times New Roman"/>
              </w:rPr>
              <w:t xml:space="preserve">Further information on </w:t>
            </w:r>
            <w:r>
              <w:rPr>
                <w:rFonts w:ascii="Times New Roman" w:hAnsi="Times New Roman"/>
              </w:rPr>
              <w:t xml:space="preserve">the </w:t>
            </w:r>
            <w:r w:rsidRPr="00FD30B6">
              <w:rPr>
                <w:rFonts w:ascii="Times New Roman" w:hAnsi="Times New Roman"/>
              </w:rPr>
              <w:t>rationale for</w:t>
            </w:r>
            <w:r>
              <w:rPr>
                <w:rFonts w:ascii="Times New Roman" w:hAnsi="Times New Roman"/>
              </w:rPr>
              <w:t xml:space="preserve"> the</w:t>
            </w:r>
            <w:r w:rsidRPr="00FD30B6">
              <w:rPr>
                <w:rFonts w:ascii="Times New Roman" w:hAnsi="Times New Roman"/>
              </w:rPr>
              <w:t xml:space="preserve"> siting </w:t>
            </w:r>
            <w:r>
              <w:rPr>
                <w:rFonts w:ascii="Times New Roman" w:hAnsi="Times New Roman"/>
              </w:rPr>
              <w:t xml:space="preserve">of the </w:t>
            </w:r>
            <w:r w:rsidRPr="00FD30B6">
              <w:rPr>
                <w:rFonts w:ascii="Times New Roman" w:hAnsi="Times New Roman"/>
              </w:rPr>
              <w:t xml:space="preserve">scheme </w:t>
            </w:r>
            <w:r>
              <w:rPr>
                <w:rFonts w:ascii="Times New Roman" w:hAnsi="Times New Roman"/>
              </w:rPr>
              <w:t>at Mannez Quarry</w:t>
            </w:r>
            <w:r w:rsidRPr="00FD30B6">
              <w:rPr>
                <w:rFonts w:ascii="Times New Roman" w:hAnsi="Times New Roman"/>
              </w:rPr>
              <w:t>.</w:t>
            </w:r>
            <w:r>
              <w:rPr>
                <w:rFonts w:ascii="Times New Roman" w:hAnsi="Times New Roman"/>
              </w:rPr>
              <w:t xml:space="preserve"> Whilst the responses to the site suitability confirm the reasons why the site is considered suitable, we request that further information is submitted which demonstrates:</w:t>
            </w:r>
          </w:p>
          <w:p w14:paraId="345EB5C0" w14:textId="77777777" w:rsidR="00172D8D" w:rsidRDefault="00172D8D" w:rsidP="00835AD0">
            <w:pPr>
              <w:pStyle w:val="ListParagraph"/>
              <w:numPr>
                <w:ilvl w:val="0"/>
                <w:numId w:val="28"/>
              </w:numPr>
              <w:spacing w:before="60" w:after="60" w:line="240" w:lineRule="auto"/>
              <w:rPr>
                <w:rFonts w:ascii="Times New Roman" w:hAnsi="Times New Roman"/>
              </w:rPr>
            </w:pPr>
            <w:r>
              <w:rPr>
                <w:rFonts w:ascii="Times New Roman" w:hAnsi="Times New Roman"/>
              </w:rPr>
              <w:t>The parameters which have been used to identify a location for the converter station.</w:t>
            </w:r>
          </w:p>
          <w:p w14:paraId="306F43F8" w14:textId="77777777" w:rsidR="00172D8D" w:rsidRDefault="00172D8D" w:rsidP="00835AD0">
            <w:pPr>
              <w:pStyle w:val="ListParagraph"/>
              <w:numPr>
                <w:ilvl w:val="0"/>
                <w:numId w:val="28"/>
              </w:numPr>
              <w:spacing w:before="60" w:after="60" w:line="240" w:lineRule="auto"/>
              <w:rPr>
                <w:rFonts w:ascii="Times New Roman" w:hAnsi="Times New Roman"/>
              </w:rPr>
            </w:pPr>
            <w:r>
              <w:rPr>
                <w:rFonts w:ascii="Times New Roman" w:hAnsi="Times New Roman"/>
              </w:rPr>
              <w:t>The methodology used to assess the reasonable alternatives.</w:t>
            </w:r>
          </w:p>
          <w:p w14:paraId="378F43EE" w14:textId="1E2DBFAB" w:rsidR="00172D8D" w:rsidRDefault="00172D8D" w:rsidP="00835AD0">
            <w:pPr>
              <w:pStyle w:val="ListParagraph"/>
              <w:numPr>
                <w:ilvl w:val="0"/>
                <w:numId w:val="28"/>
              </w:numPr>
              <w:spacing w:before="60" w:after="60" w:line="240" w:lineRule="auto"/>
              <w:rPr>
                <w:rFonts w:ascii="Times New Roman" w:hAnsi="Times New Roman"/>
              </w:rPr>
            </w:pPr>
            <w:r>
              <w:rPr>
                <w:rFonts w:ascii="Times New Roman" w:hAnsi="Times New Roman"/>
              </w:rPr>
              <w:t xml:space="preserve">Why the converter station </w:t>
            </w:r>
            <w:r w:rsidR="003946D3">
              <w:rPr>
                <w:rFonts w:ascii="Times New Roman" w:hAnsi="Times New Roman"/>
              </w:rPr>
              <w:t>should</w:t>
            </w:r>
            <w:r>
              <w:rPr>
                <w:rFonts w:ascii="Times New Roman" w:hAnsi="Times New Roman"/>
              </w:rPr>
              <w:t xml:space="preserve"> be located on-land </w:t>
            </w:r>
            <w:r w:rsidR="003946D3">
              <w:rPr>
                <w:rFonts w:ascii="Times New Roman" w:hAnsi="Times New Roman"/>
              </w:rPr>
              <w:t xml:space="preserve">(including Alderney-based and non-Alderney-based options) </w:t>
            </w:r>
            <w:r>
              <w:rPr>
                <w:rFonts w:ascii="Times New Roman" w:hAnsi="Times New Roman"/>
              </w:rPr>
              <w:t>a</w:t>
            </w:r>
            <w:r w:rsidR="003946D3">
              <w:rPr>
                <w:rFonts w:ascii="Times New Roman" w:hAnsi="Times New Roman"/>
              </w:rPr>
              <w:t>s opposed to proximate and more remote marine-based options</w:t>
            </w:r>
            <w:r>
              <w:rPr>
                <w:rFonts w:ascii="Times New Roman" w:hAnsi="Times New Roman"/>
              </w:rPr>
              <w:t xml:space="preserve">. </w:t>
            </w:r>
          </w:p>
          <w:p w14:paraId="0E2DDC34" w14:textId="37F33668" w:rsidR="00172D8D" w:rsidRPr="00835AD0" w:rsidRDefault="00172D8D" w:rsidP="00835AD0">
            <w:pPr>
              <w:pStyle w:val="ListParagraph"/>
              <w:numPr>
                <w:ilvl w:val="0"/>
                <w:numId w:val="28"/>
              </w:numPr>
              <w:spacing w:before="60" w:after="60" w:line="240" w:lineRule="auto"/>
              <w:rPr>
                <w:rFonts w:ascii="Times New Roman" w:hAnsi="Times New Roman"/>
              </w:rPr>
            </w:pPr>
            <w:r>
              <w:rPr>
                <w:rFonts w:ascii="Times New Roman" w:hAnsi="Times New Roman"/>
              </w:rPr>
              <w:t xml:space="preserve">The land based </w:t>
            </w:r>
            <w:r w:rsidR="0027295C">
              <w:rPr>
                <w:rFonts w:ascii="Times New Roman" w:hAnsi="Times New Roman"/>
              </w:rPr>
              <w:t xml:space="preserve">(Alderney-based) </w:t>
            </w:r>
            <w:r>
              <w:rPr>
                <w:rFonts w:ascii="Times New Roman" w:hAnsi="Times New Roman"/>
              </w:rPr>
              <w:t>options considered including an assessment of each option which appraises technical, economic, social and environmental considerations and explains how these have been balanced in identifying Mannez Quarry as the preferred location.</w:t>
            </w:r>
          </w:p>
        </w:tc>
        <w:tc>
          <w:tcPr>
            <w:tcW w:w="5387" w:type="dxa"/>
            <w:tcBorders>
              <w:right w:val="single" w:sz="4" w:space="0" w:color="auto"/>
            </w:tcBorders>
            <w:shd w:val="clear" w:color="auto" w:fill="auto"/>
          </w:tcPr>
          <w:p w14:paraId="416DC260" w14:textId="49F193EC" w:rsidR="00172D8D" w:rsidRDefault="008A6129" w:rsidP="005B05A2">
            <w:pPr>
              <w:spacing w:before="60" w:after="60" w:line="240" w:lineRule="auto"/>
              <w:rPr>
                <w:rFonts w:ascii="Times New Roman" w:hAnsi="Times New Roman"/>
              </w:rPr>
            </w:pPr>
            <w:r w:rsidRPr="005B05A2">
              <w:rPr>
                <w:rFonts w:ascii="Times New Roman" w:hAnsi="Times New Roman"/>
              </w:rPr>
              <w:t xml:space="preserve">Site </w:t>
            </w:r>
            <w:r w:rsidR="005B05A2" w:rsidRPr="005B05A2">
              <w:rPr>
                <w:rFonts w:ascii="Times New Roman" w:hAnsi="Times New Roman"/>
              </w:rPr>
              <w:t>identification was arrived at using the following</w:t>
            </w:r>
            <w:r w:rsidR="00D73474">
              <w:rPr>
                <w:rFonts w:ascii="Times New Roman" w:hAnsi="Times New Roman"/>
              </w:rPr>
              <w:t xml:space="preserve"> search</w:t>
            </w:r>
            <w:r w:rsidR="005B05A2" w:rsidRPr="005B05A2">
              <w:rPr>
                <w:rFonts w:ascii="Times New Roman" w:hAnsi="Times New Roman"/>
              </w:rPr>
              <w:t xml:space="preserve"> </w:t>
            </w:r>
            <w:r w:rsidR="00E6734A" w:rsidRPr="005B05A2">
              <w:rPr>
                <w:rFonts w:ascii="Times New Roman" w:hAnsi="Times New Roman"/>
              </w:rPr>
              <w:t>criteria</w:t>
            </w:r>
            <w:r w:rsidR="005B05A2" w:rsidRPr="005B05A2">
              <w:rPr>
                <w:rFonts w:ascii="Times New Roman" w:hAnsi="Times New Roman"/>
              </w:rPr>
              <w:t>;</w:t>
            </w:r>
          </w:p>
          <w:p w14:paraId="0CD0F094" w14:textId="77777777" w:rsidR="00C56925" w:rsidRDefault="005B05A2" w:rsidP="005B05A2">
            <w:pPr>
              <w:pStyle w:val="ListParagraph"/>
              <w:numPr>
                <w:ilvl w:val="0"/>
                <w:numId w:val="31"/>
              </w:numPr>
              <w:spacing w:before="60" w:after="60" w:line="240" w:lineRule="auto"/>
              <w:rPr>
                <w:rFonts w:ascii="Times New Roman" w:hAnsi="Times New Roman"/>
              </w:rPr>
            </w:pPr>
            <w:r>
              <w:rPr>
                <w:rFonts w:ascii="Times New Roman" w:hAnsi="Times New Roman"/>
              </w:rPr>
              <w:t>It should be States Land (this would enable commercial rental returns for the island)</w:t>
            </w:r>
          </w:p>
          <w:p w14:paraId="44E42D67" w14:textId="6F9F1F9D" w:rsidR="005B05A2" w:rsidRDefault="00C56925" w:rsidP="005B05A2">
            <w:pPr>
              <w:pStyle w:val="ListParagraph"/>
              <w:numPr>
                <w:ilvl w:val="0"/>
                <w:numId w:val="31"/>
              </w:numPr>
              <w:spacing w:before="60" w:after="60" w:line="240" w:lineRule="auto"/>
              <w:rPr>
                <w:rFonts w:ascii="Times New Roman" w:hAnsi="Times New Roman"/>
              </w:rPr>
            </w:pPr>
            <w:r>
              <w:rPr>
                <w:rFonts w:ascii="Times New Roman" w:hAnsi="Times New Roman"/>
              </w:rPr>
              <w:t>The site choice would be supported by the States (Lease O</w:t>
            </w:r>
            <w:r w:rsidR="00D1701D">
              <w:rPr>
                <w:rFonts w:ascii="Times New Roman" w:hAnsi="Times New Roman"/>
              </w:rPr>
              <w:t>ption agreed with States in 2010</w:t>
            </w:r>
            <w:r>
              <w:rPr>
                <w:rFonts w:ascii="Times New Roman" w:hAnsi="Times New Roman"/>
              </w:rPr>
              <w:t>)</w:t>
            </w:r>
            <w:r w:rsidR="005B05A2">
              <w:rPr>
                <w:rFonts w:ascii="Times New Roman" w:hAnsi="Times New Roman"/>
              </w:rPr>
              <w:t xml:space="preserve"> </w:t>
            </w:r>
          </w:p>
          <w:p w14:paraId="0924D1E8" w14:textId="6A34D75B" w:rsidR="005B05A2" w:rsidRDefault="00D73474" w:rsidP="005B05A2">
            <w:pPr>
              <w:pStyle w:val="ListParagraph"/>
              <w:numPr>
                <w:ilvl w:val="0"/>
                <w:numId w:val="31"/>
              </w:numPr>
              <w:spacing w:before="60" w:after="60" w:line="240" w:lineRule="auto"/>
              <w:rPr>
                <w:rFonts w:ascii="Times New Roman" w:hAnsi="Times New Roman"/>
              </w:rPr>
            </w:pPr>
            <w:r>
              <w:rPr>
                <w:rFonts w:ascii="Times New Roman" w:hAnsi="Times New Roman"/>
              </w:rPr>
              <w:t>Site a</w:t>
            </w:r>
            <w:r w:rsidR="00A20858">
              <w:rPr>
                <w:rFonts w:ascii="Times New Roman" w:hAnsi="Times New Roman"/>
              </w:rPr>
              <w:t>rea</w:t>
            </w:r>
            <w:r>
              <w:rPr>
                <w:rFonts w:ascii="Times New Roman" w:hAnsi="Times New Roman"/>
              </w:rPr>
              <w:t xml:space="preserve"> in excess of 20,000 sq metres</w:t>
            </w:r>
            <w:r w:rsidR="00A20858">
              <w:rPr>
                <w:rFonts w:ascii="Times New Roman" w:hAnsi="Times New Roman"/>
              </w:rPr>
              <w:t xml:space="preserve"> with limited or no current usage.</w:t>
            </w:r>
          </w:p>
          <w:p w14:paraId="7E6C49DD" w14:textId="6F702EB1" w:rsidR="005B05A2" w:rsidRDefault="005B05A2" w:rsidP="005B05A2">
            <w:pPr>
              <w:pStyle w:val="ListParagraph"/>
              <w:numPr>
                <w:ilvl w:val="0"/>
                <w:numId w:val="31"/>
              </w:numPr>
              <w:spacing w:before="60" w:after="60" w:line="240" w:lineRule="auto"/>
              <w:rPr>
                <w:rFonts w:ascii="Times New Roman" w:hAnsi="Times New Roman"/>
              </w:rPr>
            </w:pPr>
            <w:r>
              <w:rPr>
                <w:rFonts w:ascii="Times New Roman" w:hAnsi="Times New Roman"/>
              </w:rPr>
              <w:t xml:space="preserve">Site did not require significant </w:t>
            </w:r>
            <w:r w:rsidR="00474C1B">
              <w:rPr>
                <w:rFonts w:ascii="Times New Roman" w:hAnsi="Times New Roman"/>
              </w:rPr>
              <w:t>engineering works to enable access for abnormal loads.</w:t>
            </w:r>
          </w:p>
          <w:p w14:paraId="5585FA46" w14:textId="53112FA1" w:rsidR="00470C64" w:rsidRDefault="00D73474" w:rsidP="003B7712">
            <w:pPr>
              <w:pStyle w:val="ListParagraph"/>
              <w:numPr>
                <w:ilvl w:val="0"/>
                <w:numId w:val="31"/>
              </w:numPr>
              <w:spacing w:before="60" w:after="60" w:line="240" w:lineRule="auto"/>
              <w:rPr>
                <w:rFonts w:ascii="Times New Roman" w:hAnsi="Times New Roman"/>
              </w:rPr>
            </w:pPr>
            <w:r>
              <w:rPr>
                <w:rFonts w:ascii="Times New Roman" w:hAnsi="Times New Roman"/>
              </w:rPr>
              <w:t>Remote location providing (i)</w:t>
            </w:r>
            <w:r w:rsidR="00474C1B">
              <w:rPr>
                <w:rFonts w:ascii="Times New Roman" w:hAnsi="Times New Roman"/>
              </w:rPr>
              <w:t xml:space="preserve"> more than 150 metres from any residential property, and (ii) a site with considerable natural screening for visual impacts.</w:t>
            </w:r>
          </w:p>
          <w:p w14:paraId="3CA03A76" w14:textId="6B988AA2" w:rsidR="003B7712" w:rsidRPr="003B7712" w:rsidRDefault="003B7712" w:rsidP="003B7712">
            <w:pPr>
              <w:pStyle w:val="ListParagraph"/>
              <w:numPr>
                <w:ilvl w:val="0"/>
                <w:numId w:val="31"/>
              </w:numPr>
              <w:spacing w:before="60" w:after="60" w:line="240" w:lineRule="auto"/>
              <w:rPr>
                <w:rFonts w:ascii="Times New Roman" w:hAnsi="Times New Roman"/>
              </w:rPr>
            </w:pPr>
            <w:r>
              <w:rPr>
                <w:rFonts w:ascii="Times New Roman" w:hAnsi="Times New Roman"/>
              </w:rPr>
              <w:t>Site</w:t>
            </w:r>
            <w:r w:rsidR="00186603">
              <w:rPr>
                <w:rFonts w:ascii="Times New Roman" w:hAnsi="Times New Roman"/>
              </w:rPr>
              <w:t xml:space="preserve"> potential</w:t>
            </w:r>
            <w:r>
              <w:rPr>
                <w:rFonts w:ascii="Times New Roman" w:hAnsi="Times New Roman"/>
              </w:rPr>
              <w:t xml:space="preserve"> already identified in</w:t>
            </w:r>
            <w:r w:rsidR="00D769DF">
              <w:rPr>
                <w:rFonts w:ascii="Times New Roman" w:hAnsi="Times New Roman"/>
              </w:rPr>
              <w:t xml:space="preserve"> AEA</w:t>
            </w:r>
            <w:r w:rsidR="00474C1B">
              <w:rPr>
                <w:rFonts w:ascii="Times New Roman" w:hAnsi="Times New Roman"/>
              </w:rPr>
              <w:t xml:space="preserve"> Technology plc report for the Alderney Commission for Renewable Energy.</w:t>
            </w:r>
          </w:p>
          <w:p w14:paraId="0CAEABC9" w14:textId="2A3E36D4" w:rsidR="00A20858" w:rsidRDefault="006B7A0B" w:rsidP="00470C64">
            <w:pPr>
              <w:spacing w:before="60" w:after="60" w:line="240" w:lineRule="auto"/>
              <w:rPr>
                <w:rFonts w:ascii="Times New Roman" w:hAnsi="Times New Roman"/>
              </w:rPr>
            </w:pPr>
            <w:r>
              <w:rPr>
                <w:rFonts w:ascii="Times New Roman" w:hAnsi="Times New Roman"/>
              </w:rPr>
              <w:t>G</w:t>
            </w:r>
            <w:r w:rsidR="00E76195">
              <w:rPr>
                <w:rFonts w:ascii="Times New Roman" w:hAnsi="Times New Roman"/>
              </w:rPr>
              <w:t>iven this criteria and the size of the island,</w:t>
            </w:r>
            <w:r>
              <w:rPr>
                <w:rFonts w:ascii="Times New Roman" w:hAnsi="Times New Roman"/>
              </w:rPr>
              <w:t xml:space="preserve"> we did not consider that there were any alternative sites.</w:t>
            </w:r>
          </w:p>
          <w:p w14:paraId="5CF35B04" w14:textId="62B9A453" w:rsidR="00790072" w:rsidRDefault="00790072" w:rsidP="00470C64">
            <w:pPr>
              <w:spacing w:before="60" w:after="60" w:line="240" w:lineRule="auto"/>
              <w:rPr>
                <w:rFonts w:ascii="Times New Roman" w:hAnsi="Times New Roman"/>
              </w:rPr>
            </w:pPr>
            <w:r>
              <w:rPr>
                <w:rFonts w:ascii="Times New Roman" w:hAnsi="Times New Roman"/>
              </w:rPr>
              <w:t>All factors (technical, environmental, social etc.) would be</w:t>
            </w:r>
            <w:r w:rsidR="000008F5">
              <w:rPr>
                <w:rFonts w:ascii="Times New Roman" w:hAnsi="Times New Roman"/>
              </w:rPr>
              <w:t xml:space="preserve"> considered in the next phase of scoping the</w:t>
            </w:r>
            <w:r>
              <w:rPr>
                <w:rFonts w:ascii="Times New Roman" w:hAnsi="Times New Roman"/>
              </w:rPr>
              <w:t xml:space="preserve"> pre-planning application stage.</w:t>
            </w:r>
          </w:p>
          <w:p w14:paraId="2B8430FB" w14:textId="77777777" w:rsidR="006B7A0B" w:rsidRDefault="006B7A0B" w:rsidP="00470C64">
            <w:pPr>
              <w:spacing w:before="60" w:after="60" w:line="240" w:lineRule="auto"/>
              <w:rPr>
                <w:rFonts w:ascii="Times New Roman" w:hAnsi="Times New Roman"/>
              </w:rPr>
            </w:pPr>
          </w:p>
          <w:p w14:paraId="0B6ADC38" w14:textId="30F532ED" w:rsidR="00790072" w:rsidRDefault="00A20858" w:rsidP="00A20858">
            <w:pPr>
              <w:spacing w:before="60" w:after="60" w:line="240" w:lineRule="auto"/>
              <w:rPr>
                <w:rFonts w:ascii="Times New Roman" w:hAnsi="Times New Roman"/>
              </w:rPr>
            </w:pPr>
            <w:r>
              <w:rPr>
                <w:rFonts w:ascii="Times New Roman" w:hAnsi="Times New Roman"/>
              </w:rPr>
              <w:t>An onshore convertor station allows the</w:t>
            </w:r>
            <w:r w:rsidR="00E76195">
              <w:rPr>
                <w:rFonts w:ascii="Times New Roman" w:hAnsi="Times New Roman"/>
              </w:rPr>
              <w:t xml:space="preserve"> economic</w:t>
            </w:r>
            <w:r>
              <w:rPr>
                <w:rFonts w:ascii="Times New Roman" w:hAnsi="Times New Roman"/>
              </w:rPr>
              <w:t xml:space="preserve"> development of the islands tidal resource, and therefore access to</w:t>
            </w:r>
            <w:r w:rsidR="00F05C69">
              <w:rPr>
                <w:rFonts w:ascii="Times New Roman" w:hAnsi="Times New Roman"/>
              </w:rPr>
              <w:t xml:space="preserve"> tidal</w:t>
            </w:r>
            <w:r>
              <w:rPr>
                <w:rFonts w:ascii="Times New Roman" w:hAnsi="Times New Roman"/>
              </w:rPr>
              <w:t xml:space="preserve"> </w:t>
            </w:r>
            <w:r w:rsidR="000772FB">
              <w:rPr>
                <w:rFonts w:ascii="Times New Roman" w:hAnsi="Times New Roman"/>
              </w:rPr>
              <w:t>licence revenues for the island</w:t>
            </w:r>
            <w:r w:rsidR="00AC55AA">
              <w:rPr>
                <w:rFonts w:ascii="Times New Roman" w:hAnsi="Times New Roman"/>
              </w:rPr>
              <w:t>.</w:t>
            </w:r>
            <w:r w:rsidR="00790072">
              <w:rPr>
                <w:rFonts w:ascii="Times New Roman" w:hAnsi="Times New Roman"/>
              </w:rPr>
              <w:t xml:space="preserve"> It also enables AEL connection to FAB.</w:t>
            </w:r>
          </w:p>
          <w:p w14:paraId="43AAA46B" w14:textId="77777777" w:rsidR="00790072" w:rsidRDefault="00790072" w:rsidP="00A20858">
            <w:pPr>
              <w:spacing w:before="60" w:after="60" w:line="240" w:lineRule="auto"/>
              <w:rPr>
                <w:rFonts w:ascii="Times New Roman" w:hAnsi="Times New Roman"/>
              </w:rPr>
            </w:pPr>
          </w:p>
          <w:p w14:paraId="3540E869" w14:textId="1F203099" w:rsidR="00A20858" w:rsidRDefault="00A20858" w:rsidP="00A20858">
            <w:pPr>
              <w:spacing w:before="60" w:after="60" w:line="240" w:lineRule="auto"/>
              <w:rPr>
                <w:rFonts w:ascii="Times New Roman" w:hAnsi="Times New Roman"/>
              </w:rPr>
            </w:pPr>
            <w:r>
              <w:rPr>
                <w:rFonts w:ascii="Times New Roman" w:hAnsi="Times New Roman"/>
              </w:rPr>
              <w:t>Construction of an offshore converto</w:t>
            </w:r>
            <w:r w:rsidR="006B7A0B">
              <w:rPr>
                <w:rFonts w:ascii="Times New Roman" w:hAnsi="Times New Roman"/>
              </w:rPr>
              <w:t>r station would not be economic for</w:t>
            </w:r>
            <w:r w:rsidR="00AC55AA">
              <w:rPr>
                <w:rFonts w:ascii="Times New Roman" w:hAnsi="Times New Roman"/>
              </w:rPr>
              <w:t xml:space="preserve"> the deve</w:t>
            </w:r>
            <w:r w:rsidR="00E76195">
              <w:rPr>
                <w:rFonts w:ascii="Times New Roman" w:hAnsi="Times New Roman"/>
              </w:rPr>
              <w:t xml:space="preserve">lopment of tidal </w:t>
            </w:r>
            <w:r w:rsidR="00F05C69">
              <w:rPr>
                <w:rFonts w:ascii="Times New Roman" w:hAnsi="Times New Roman"/>
              </w:rPr>
              <w:t>power.</w:t>
            </w:r>
          </w:p>
          <w:p w14:paraId="1620D3CC" w14:textId="77777777" w:rsidR="00E6734A" w:rsidRDefault="00E6734A" w:rsidP="00A20858">
            <w:pPr>
              <w:spacing w:before="60" w:after="60" w:line="240" w:lineRule="auto"/>
              <w:rPr>
                <w:rFonts w:ascii="Times New Roman" w:hAnsi="Times New Roman"/>
              </w:rPr>
            </w:pPr>
          </w:p>
          <w:p w14:paraId="10656919" w14:textId="26D88EA1" w:rsidR="00E6734A" w:rsidRPr="00A20858" w:rsidRDefault="00E6734A" w:rsidP="00A20858">
            <w:pPr>
              <w:spacing w:before="60" w:after="60" w:line="240" w:lineRule="auto"/>
              <w:rPr>
                <w:rFonts w:ascii="Times New Roman" w:hAnsi="Times New Roman"/>
              </w:rPr>
            </w:pPr>
          </w:p>
        </w:tc>
      </w:tr>
      <w:tr w:rsidR="00172D8D" w:rsidRPr="0089205B" w14:paraId="1422C367" w14:textId="77777777" w:rsidTr="00B07A5B">
        <w:tc>
          <w:tcPr>
            <w:tcW w:w="567" w:type="dxa"/>
            <w:tcBorders>
              <w:left w:val="single" w:sz="4" w:space="0" w:color="auto"/>
            </w:tcBorders>
            <w:shd w:val="clear" w:color="auto" w:fill="D9D9D9"/>
          </w:tcPr>
          <w:p w14:paraId="18E272B1" w14:textId="1D8F0180" w:rsidR="00172D8D" w:rsidRPr="00CB054D" w:rsidRDefault="00172D8D" w:rsidP="00172D8D">
            <w:pPr>
              <w:spacing w:before="60" w:after="60" w:line="240" w:lineRule="auto"/>
              <w:rPr>
                <w:rFonts w:ascii="Times New Roman" w:hAnsi="Times New Roman"/>
                <w:b/>
              </w:rPr>
            </w:pPr>
            <w:r w:rsidRPr="00CB054D">
              <w:rPr>
                <w:rFonts w:ascii="Times New Roman" w:hAnsi="Times New Roman"/>
                <w:b/>
              </w:rPr>
              <w:t>4.</w:t>
            </w:r>
          </w:p>
        </w:tc>
        <w:tc>
          <w:tcPr>
            <w:tcW w:w="4962" w:type="dxa"/>
            <w:tcBorders>
              <w:left w:val="single" w:sz="4" w:space="0" w:color="auto"/>
            </w:tcBorders>
            <w:shd w:val="clear" w:color="auto" w:fill="D9D9D9"/>
          </w:tcPr>
          <w:p w14:paraId="4256BDA1" w14:textId="77777777" w:rsidR="00172D8D" w:rsidRPr="00D96D49" w:rsidRDefault="00172D8D" w:rsidP="00172D8D">
            <w:pPr>
              <w:spacing w:before="60" w:after="60" w:line="240" w:lineRule="auto"/>
              <w:rPr>
                <w:rFonts w:ascii="Times New Roman" w:hAnsi="Times New Roman"/>
              </w:rPr>
            </w:pPr>
            <w:r w:rsidRPr="00FD30B6">
              <w:rPr>
                <w:rFonts w:ascii="Times New Roman" w:hAnsi="Times New Roman"/>
              </w:rPr>
              <w:t>Additional information on how the existing train shelters within the quarry area will be accom</w:t>
            </w:r>
            <w:r>
              <w:rPr>
                <w:rFonts w:ascii="Times New Roman" w:hAnsi="Times New Roman"/>
              </w:rPr>
              <w:t>m</w:t>
            </w:r>
            <w:r w:rsidRPr="00FD30B6">
              <w:rPr>
                <w:rFonts w:ascii="Times New Roman" w:hAnsi="Times New Roman"/>
              </w:rPr>
              <w:t>odated</w:t>
            </w:r>
            <w:r>
              <w:rPr>
                <w:rFonts w:ascii="Times New Roman" w:hAnsi="Times New Roman"/>
              </w:rPr>
              <w:t xml:space="preserve"> and any impacts on the operation of the existing train line</w:t>
            </w:r>
            <w:r w:rsidRPr="00FD30B6">
              <w:rPr>
                <w:rFonts w:ascii="Times New Roman" w:hAnsi="Times New Roman"/>
              </w:rPr>
              <w:t xml:space="preserve">.  </w:t>
            </w:r>
          </w:p>
        </w:tc>
        <w:tc>
          <w:tcPr>
            <w:tcW w:w="5387" w:type="dxa"/>
            <w:tcBorders>
              <w:right w:val="single" w:sz="4" w:space="0" w:color="auto"/>
            </w:tcBorders>
            <w:shd w:val="clear" w:color="auto" w:fill="auto"/>
          </w:tcPr>
          <w:p w14:paraId="74B28120" w14:textId="26CB345F" w:rsidR="00F10E45" w:rsidRDefault="00F10E45" w:rsidP="00172D8D">
            <w:pPr>
              <w:spacing w:before="60" w:after="60" w:line="240" w:lineRule="auto"/>
              <w:rPr>
                <w:rFonts w:ascii="Times New Roman" w:hAnsi="Times New Roman"/>
              </w:rPr>
            </w:pPr>
            <w:r>
              <w:rPr>
                <w:rFonts w:ascii="Times New Roman" w:hAnsi="Times New Roman"/>
              </w:rPr>
              <w:t>Existing train shelters would be relocated</w:t>
            </w:r>
            <w:r w:rsidR="000008F5">
              <w:rPr>
                <w:rFonts w:ascii="Times New Roman" w:hAnsi="Times New Roman"/>
              </w:rPr>
              <w:t xml:space="preserve"> (see site plan)</w:t>
            </w:r>
            <w:r>
              <w:rPr>
                <w:rFonts w:ascii="Times New Roman" w:hAnsi="Times New Roman"/>
              </w:rPr>
              <w:t xml:space="preserve"> and facilities enhanced. Impacts would be mitigated by detailed planning and arrangements with the Railway Society.</w:t>
            </w:r>
          </w:p>
          <w:p w14:paraId="7F109AAA" w14:textId="77777777" w:rsidR="007455E2" w:rsidRDefault="007455E2" w:rsidP="00172D8D">
            <w:pPr>
              <w:spacing w:before="60" w:after="60" w:line="240" w:lineRule="auto"/>
              <w:rPr>
                <w:rFonts w:ascii="Times New Roman" w:hAnsi="Times New Roman"/>
              </w:rPr>
            </w:pPr>
          </w:p>
          <w:p w14:paraId="14B58E5A" w14:textId="65E5066D" w:rsidR="007455E2" w:rsidRPr="0089205B" w:rsidRDefault="007455E2" w:rsidP="00172D8D">
            <w:pPr>
              <w:spacing w:before="60" w:after="60" w:line="240" w:lineRule="auto"/>
              <w:rPr>
                <w:rFonts w:ascii="Times New Roman" w:hAnsi="Times New Roman"/>
              </w:rPr>
            </w:pPr>
            <w:r>
              <w:rPr>
                <w:rFonts w:ascii="Times New Roman" w:hAnsi="Times New Roman"/>
              </w:rPr>
              <w:t>Re-introduction and upgrade of miniature railway is proposed as part of the site “visitor experience.”</w:t>
            </w:r>
          </w:p>
        </w:tc>
      </w:tr>
      <w:tr w:rsidR="00172D8D" w:rsidRPr="0089205B" w14:paraId="14B4ABF8" w14:textId="77777777" w:rsidTr="00B07A5B">
        <w:tc>
          <w:tcPr>
            <w:tcW w:w="567" w:type="dxa"/>
            <w:tcBorders>
              <w:left w:val="single" w:sz="4" w:space="0" w:color="auto"/>
            </w:tcBorders>
            <w:shd w:val="clear" w:color="auto" w:fill="D9D9D9"/>
          </w:tcPr>
          <w:p w14:paraId="14AEFC72" w14:textId="7C225D68" w:rsidR="00172D8D" w:rsidRPr="00CB054D" w:rsidRDefault="00172D8D" w:rsidP="00172D8D">
            <w:pPr>
              <w:spacing w:before="60" w:after="60" w:line="240" w:lineRule="auto"/>
              <w:rPr>
                <w:rFonts w:ascii="Times New Roman" w:hAnsi="Times New Roman"/>
                <w:b/>
              </w:rPr>
            </w:pPr>
            <w:r>
              <w:rPr>
                <w:rFonts w:ascii="Times New Roman" w:hAnsi="Times New Roman"/>
                <w:b/>
              </w:rPr>
              <w:t>5.</w:t>
            </w:r>
          </w:p>
        </w:tc>
        <w:tc>
          <w:tcPr>
            <w:tcW w:w="4962" w:type="dxa"/>
            <w:tcBorders>
              <w:left w:val="single" w:sz="4" w:space="0" w:color="auto"/>
            </w:tcBorders>
            <w:shd w:val="clear" w:color="auto" w:fill="D9D9D9"/>
          </w:tcPr>
          <w:p w14:paraId="18175378" w14:textId="67EC3D03" w:rsidR="00172D8D" w:rsidRPr="006341AD" w:rsidRDefault="00172D8D" w:rsidP="00D07849">
            <w:pPr>
              <w:spacing w:before="60" w:after="60" w:line="240" w:lineRule="auto"/>
              <w:rPr>
                <w:rFonts w:ascii="Times New Roman" w:hAnsi="Times New Roman"/>
              </w:rPr>
            </w:pPr>
            <w:r>
              <w:rPr>
                <w:rFonts w:ascii="Times New Roman" w:hAnsi="Times New Roman"/>
              </w:rPr>
              <w:t xml:space="preserve">Additional </w:t>
            </w:r>
            <w:r w:rsidRPr="00FD30B6">
              <w:rPr>
                <w:rFonts w:ascii="Times New Roman" w:hAnsi="Times New Roman"/>
              </w:rPr>
              <w:t xml:space="preserve">information </w:t>
            </w:r>
            <w:r>
              <w:rPr>
                <w:rFonts w:ascii="Times New Roman" w:hAnsi="Times New Roman"/>
              </w:rPr>
              <w:t xml:space="preserve">on </w:t>
            </w:r>
            <w:r w:rsidRPr="00FD30B6">
              <w:rPr>
                <w:rFonts w:ascii="Times New Roman" w:hAnsi="Times New Roman"/>
              </w:rPr>
              <w:t xml:space="preserve">how the scheme will be developed sensitively within the context of adjacent </w:t>
            </w:r>
            <w:r w:rsidRPr="00FD30B6">
              <w:rPr>
                <w:rFonts w:ascii="Times New Roman" w:hAnsi="Times New Roman"/>
              </w:rPr>
              <w:lastRenderedPageBreak/>
              <w:t>wildlife areas</w:t>
            </w:r>
            <w:r w:rsidR="00D07849">
              <w:rPr>
                <w:rFonts w:ascii="Times New Roman" w:hAnsi="Times New Roman"/>
              </w:rPr>
              <w:t xml:space="preserve"> (including Longis Nature Reserve and the Mannez Pond) </w:t>
            </w:r>
            <w:r w:rsidRPr="00FD30B6">
              <w:rPr>
                <w:rFonts w:ascii="Times New Roman" w:hAnsi="Times New Roman"/>
              </w:rPr>
              <w:t>and built heritage (</w:t>
            </w:r>
            <w:r>
              <w:rPr>
                <w:rFonts w:ascii="Times New Roman" w:hAnsi="Times New Roman"/>
              </w:rPr>
              <w:t xml:space="preserve">including </w:t>
            </w:r>
            <w:r w:rsidRPr="00FD30B6">
              <w:rPr>
                <w:rFonts w:ascii="Times New Roman" w:hAnsi="Times New Roman"/>
              </w:rPr>
              <w:t xml:space="preserve">the Odeon) and any mitigation measures that will be necessary.     </w:t>
            </w:r>
          </w:p>
        </w:tc>
        <w:tc>
          <w:tcPr>
            <w:tcW w:w="5387" w:type="dxa"/>
            <w:tcBorders>
              <w:right w:val="single" w:sz="4" w:space="0" w:color="auto"/>
            </w:tcBorders>
            <w:shd w:val="clear" w:color="auto" w:fill="auto"/>
          </w:tcPr>
          <w:p w14:paraId="51E9E2F5" w14:textId="5CA4ED29" w:rsidR="00172D8D" w:rsidRPr="0089205B" w:rsidRDefault="003D416B" w:rsidP="007455E2">
            <w:pPr>
              <w:spacing w:before="60" w:after="60" w:line="240" w:lineRule="auto"/>
              <w:rPr>
                <w:rFonts w:ascii="Times New Roman" w:hAnsi="Times New Roman"/>
              </w:rPr>
            </w:pPr>
            <w:r>
              <w:rPr>
                <w:rFonts w:ascii="Times New Roman" w:hAnsi="Times New Roman"/>
              </w:rPr>
              <w:lastRenderedPageBreak/>
              <w:t>This level of detail wo</w:t>
            </w:r>
            <w:r w:rsidR="007455E2">
              <w:rPr>
                <w:rFonts w:ascii="Times New Roman" w:hAnsi="Times New Roman"/>
              </w:rPr>
              <w:t>uld be provided as part of the</w:t>
            </w:r>
            <w:r w:rsidR="000008F5">
              <w:rPr>
                <w:rFonts w:ascii="Times New Roman" w:hAnsi="Times New Roman"/>
              </w:rPr>
              <w:t xml:space="preserve"> scoping of the</w:t>
            </w:r>
            <w:r w:rsidR="007455E2">
              <w:rPr>
                <w:rFonts w:ascii="Times New Roman" w:hAnsi="Times New Roman"/>
              </w:rPr>
              <w:t xml:space="preserve"> pre</w:t>
            </w:r>
            <w:r w:rsidR="00790072">
              <w:rPr>
                <w:rFonts w:ascii="Times New Roman" w:hAnsi="Times New Roman"/>
              </w:rPr>
              <w:t>-</w:t>
            </w:r>
            <w:r w:rsidR="007455E2">
              <w:rPr>
                <w:rFonts w:ascii="Times New Roman" w:hAnsi="Times New Roman"/>
              </w:rPr>
              <w:t xml:space="preserve"> p</w:t>
            </w:r>
            <w:r>
              <w:rPr>
                <w:rFonts w:ascii="Times New Roman" w:hAnsi="Times New Roman"/>
              </w:rPr>
              <w:t xml:space="preserve">lanning </w:t>
            </w:r>
            <w:r w:rsidR="007455E2">
              <w:rPr>
                <w:rFonts w:ascii="Times New Roman" w:hAnsi="Times New Roman"/>
              </w:rPr>
              <w:t>a</w:t>
            </w:r>
            <w:r>
              <w:rPr>
                <w:rFonts w:ascii="Times New Roman" w:hAnsi="Times New Roman"/>
              </w:rPr>
              <w:t>greement process.</w:t>
            </w:r>
          </w:p>
        </w:tc>
      </w:tr>
      <w:tr w:rsidR="00172D8D" w:rsidRPr="0089205B" w14:paraId="22FD4F94" w14:textId="77777777" w:rsidTr="00B07A5B">
        <w:tc>
          <w:tcPr>
            <w:tcW w:w="567" w:type="dxa"/>
            <w:tcBorders>
              <w:left w:val="single" w:sz="4" w:space="0" w:color="auto"/>
            </w:tcBorders>
            <w:shd w:val="clear" w:color="auto" w:fill="D9D9D9"/>
          </w:tcPr>
          <w:p w14:paraId="72361033" w14:textId="77777777" w:rsidR="00172D8D" w:rsidRDefault="00172D8D" w:rsidP="00172D8D">
            <w:pPr>
              <w:spacing w:before="60" w:after="60" w:line="240" w:lineRule="auto"/>
              <w:rPr>
                <w:rFonts w:ascii="Times New Roman" w:hAnsi="Times New Roman"/>
                <w:b/>
              </w:rPr>
            </w:pPr>
            <w:r>
              <w:rPr>
                <w:rFonts w:ascii="Times New Roman" w:hAnsi="Times New Roman"/>
                <w:b/>
              </w:rPr>
              <w:t>6.</w:t>
            </w:r>
          </w:p>
        </w:tc>
        <w:tc>
          <w:tcPr>
            <w:tcW w:w="4962" w:type="dxa"/>
            <w:tcBorders>
              <w:left w:val="single" w:sz="4" w:space="0" w:color="auto"/>
            </w:tcBorders>
            <w:shd w:val="clear" w:color="auto" w:fill="D9D9D9"/>
          </w:tcPr>
          <w:p w14:paraId="1F185CD4" w14:textId="77777777" w:rsidR="00172D8D" w:rsidRDefault="00466B55" w:rsidP="00466B55">
            <w:pPr>
              <w:spacing w:before="60" w:after="60" w:line="240" w:lineRule="auto"/>
              <w:rPr>
                <w:rFonts w:ascii="Times New Roman" w:hAnsi="Times New Roman"/>
              </w:rPr>
            </w:pPr>
            <w:r>
              <w:rPr>
                <w:rFonts w:ascii="Times New Roman" w:hAnsi="Times New Roman"/>
              </w:rPr>
              <w:t xml:space="preserve">Confirmation of the anticipated timescale for the development coming forward and whether any discussions have been held with the current landowner with regards to the cessation of the existing land uses. </w:t>
            </w:r>
          </w:p>
        </w:tc>
        <w:tc>
          <w:tcPr>
            <w:tcW w:w="5387" w:type="dxa"/>
            <w:tcBorders>
              <w:right w:val="single" w:sz="4" w:space="0" w:color="auto"/>
            </w:tcBorders>
            <w:shd w:val="clear" w:color="auto" w:fill="auto"/>
          </w:tcPr>
          <w:p w14:paraId="1897E3E5" w14:textId="26A03715" w:rsidR="00172D8D" w:rsidRDefault="003D416B" w:rsidP="00172D8D">
            <w:pPr>
              <w:spacing w:before="60" w:after="60" w:line="240" w:lineRule="auto"/>
              <w:rPr>
                <w:rFonts w:ascii="Times New Roman" w:hAnsi="Times New Roman"/>
              </w:rPr>
            </w:pPr>
            <w:r>
              <w:rPr>
                <w:rFonts w:ascii="Times New Roman" w:hAnsi="Times New Roman"/>
              </w:rPr>
              <w:t xml:space="preserve">The aim would be to enter </w:t>
            </w:r>
            <w:r w:rsidR="00790072">
              <w:rPr>
                <w:rFonts w:ascii="Times New Roman" w:hAnsi="Times New Roman"/>
              </w:rPr>
              <w:t>into a pre-</w:t>
            </w:r>
            <w:r>
              <w:rPr>
                <w:rFonts w:ascii="Times New Roman" w:hAnsi="Times New Roman"/>
              </w:rPr>
              <w:t>planning agreement Q2 2018 targeting planning approval Q4 2019.</w:t>
            </w:r>
          </w:p>
          <w:p w14:paraId="71F9ECE8" w14:textId="6B6DE0C4" w:rsidR="008F2943" w:rsidRDefault="008F2943" w:rsidP="00172D8D">
            <w:pPr>
              <w:spacing w:before="60" w:after="60" w:line="240" w:lineRule="auto"/>
              <w:rPr>
                <w:rFonts w:ascii="Times New Roman" w:hAnsi="Times New Roman"/>
              </w:rPr>
            </w:pPr>
            <w:r>
              <w:rPr>
                <w:rFonts w:ascii="Times New Roman" w:hAnsi="Times New Roman"/>
              </w:rPr>
              <w:t xml:space="preserve">Subject to tidal project development, construction of the convertor station could commence late 2020 with an </w:t>
            </w:r>
            <w:r w:rsidR="00790072">
              <w:rPr>
                <w:rFonts w:ascii="Times New Roman" w:hAnsi="Times New Roman"/>
              </w:rPr>
              <w:t xml:space="preserve">estimated </w:t>
            </w:r>
            <w:r>
              <w:rPr>
                <w:rFonts w:ascii="Times New Roman" w:hAnsi="Times New Roman"/>
              </w:rPr>
              <w:t>18 month construction programme.</w:t>
            </w:r>
          </w:p>
          <w:p w14:paraId="7100FE89" w14:textId="77777777" w:rsidR="000008F5" w:rsidRDefault="000008F5" w:rsidP="00172D8D">
            <w:pPr>
              <w:spacing w:before="60" w:after="60" w:line="240" w:lineRule="auto"/>
              <w:rPr>
                <w:rFonts w:ascii="Times New Roman" w:hAnsi="Times New Roman"/>
              </w:rPr>
            </w:pPr>
            <w:bookmarkStart w:id="1" w:name="_GoBack"/>
            <w:bookmarkEnd w:id="1"/>
          </w:p>
          <w:p w14:paraId="04AE04DD" w14:textId="58F95A10" w:rsidR="008F2943" w:rsidRPr="0089205B" w:rsidRDefault="00D1701D" w:rsidP="00172D8D">
            <w:pPr>
              <w:spacing w:before="60" w:after="60" w:line="240" w:lineRule="auto"/>
              <w:rPr>
                <w:rFonts w:ascii="Times New Roman" w:hAnsi="Times New Roman"/>
              </w:rPr>
            </w:pPr>
            <w:r>
              <w:rPr>
                <w:rFonts w:ascii="Times New Roman" w:hAnsi="Times New Roman"/>
              </w:rPr>
              <w:t>Under the Option to Lease Agreement currently held with the States</w:t>
            </w:r>
            <w:r w:rsidR="00D74357">
              <w:rPr>
                <w:rFonts w:ascii="Times New Roman" w:hAnsi="Times New Roman"/>
              </w:rPr>
              <w:t>, the site is to be leased with vacant possession on exercising the option.</w:t>
            </w:r>
          </w:p>
        </w:tc>
      </w:tr>
    </w:tbl>
    <w:p w14:paraId="6AE2AA91" w14:textId="77777777" w:rsidR="00B64A0F" w:rsidRPr="00B64A0F" w:rsidRDefault="00B64A0F" w:rsidP="00690F35">
      <w:pPr>
        <w:ind w:left="-851"/>
      </w:pPr>
    </w:p>
    <w:sectPr w:rsidR="00B64A0F" w:rsidRPr="00B64A0F" w:rsidSect="005A794F">
      <w:headerReference w:type="default" r:id="rId10"/>
      <w:footerReference w:type="default" r:id="rId11"/>
      <w:pgSz w:w="11906" w:h="16838"/>
      <w:pgMar w:top="1135" w:right="707"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35F8A" w14:textId="77777777" w:rsidR="0066402A" w:rsidRDefault="0066402A" w:rsidP="003F39D8">
      <w:pPr>
        <w:spacing w:after="0" w:line="240" w:lineRule="auto"/>
      </w:pPr>
      <w:r>
        <w:separator/>
      </w:r>
    </w:p>
  </w:endnote>
  <w:endnote w:type="continuationSeparator" w:id="0">
    <w:p w14:paraId="37589A93" w14:textId="77777777" w:rsidR="0066402A" w:rsidRDefault="0066402A" w:rsidP="003F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973C5" w14:textId="77777777" w:rsidR="002E5593" w:rsidRPr="005A794F" w:rsidRDefault="002E5593" w:rsidP="00FB10D6">
    <w:pPr>
      <w:pStyle w:val="Footer"/>
      <w:tabs>
        <w:tab w:val="left" w:pos="255"/>
        <w:tab w:val="right" w:pos="9759"/>
      </w:tabs>
      <w:rPr>
        <w:sz w:val="4"/>
        <w:szCs w:val="4"/>
      </w:rPr>
    </w:pPr>
    <w:r>
      <w:tab/>
    </w:r>
  </w:p>
  <w:tbl>
    <w:tblPr>
      <w:tblW w:w="1119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6184"/>
    </w:tblGrid>
    <w:tr w:rsidR="002E5593" w:rsidRPr="0089205B" w14:paraId="07EF246D" w14:textId="77777777" w:rsidTr="00FB10D6">
      <w:tc>
        <w:tcPr>
          <w:tcW w:w="5015" w:type="dxa"/>
          <w:tcBorders>
            <w:top w:val="nil"/>
            <w:left w:val="nil"/>
            <w:bottom w:val="nil"/>
            <w:right w:val="nil"/>
          </w:tcBorders>
          <w:shd w:val="clear" w:color="auto" w:fill="auto"/>
          <w:vAlign w:val="center"/>
        </w:tcPr>
        <w:p w14:paraId="2D1B4CC5" w14:textId="77777777" w:rsidR="002E5593" w:rsidRPr="0089205B" w:rsidRDefault="00FD54B1" w:rsidP="0089205B">
          <w:pPr>
            <w:pStyle w:val="Footer"/>
            <w:tabs>
              <w:tab w:val="left" w:pos="255"/>
              <w:tab w:val="right" w:pos="9759"/>
            </w:tabs>
            <w:spacing w:before="40" w:after="40"/>
          </w:pPr>
          <w:r w:rsidRPr="00F16D93">
            <w:rPr>
              <w:noProof/>
              <w:lang w:eastAsia="en-GB"/>
            </w:rPr>
            <w:drawing>
              <wp:inline distT="0" distB="0" distL="0" distR="0" wp14:anchorId="689CDA63" wp14:editId="647304B8">
                <wp:extent cx="1056005" cy="391795"/>
                <wp:effectExtent l="0" t="0" r="0" b="8255"/>
                <wp:docPr id="1" name="Picture 16" descr="http://www.alderney.gov.gg/StatesofAlderney/images/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derney.gov.gg/StatesofAlderney/images/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391795"/>
                        </a:xfrm>
                        <a:prstGeom prst="rect">
                          <a:avLst/>
                        </a:prstGeom>
                        <a:noFill/>
                        <a:ln>
                          <a:noFill/>
                        </a:ln>
                      </pic:spPr>
                    </pic:pic>
                  </a:graphicData>
                </a:graphic>
              </wp:inline>
            </w:drawing>
          </w:r>
        </w:p>
      </w:tc>
      <w:tc>
        <w:tcPr>
          <w:tcW w:w="6184" w:type="dxa"/>
          <w:tcBorders>
            <w:top w:val="nil"/>
            <w:left w:val="nil"/>
            <w:bottom w:val="nil"/>
            <w:right w:val="nil"/>
          </w:tcBorders>
          <w:shd w:val="clear" w:color="auto" w:fill="auto"/>
          <w:vAlign w:val="center"/>
        </w:tcPr>
        <w:p w14:paraId="0B5CF351" w14:textId="77777777" w:rsidR="002E5593" w:rsidRPr="0089205B" w:rsidRDefault="00FD54B1" w:rsidP="0089205B">
          <w:pPr>
            <w:pStyle w:val="Footer"/>
            <w:tabs>
              <w:tab w:val="left" w:pos="255"/>
              <w:tab w:val="right" w:pos="9759"/>
            </w:tabs>
            <w:spacing w:before="40" w:after="40"/>
            <w:jc w:val="right"/>
          </w:pPr>
          <w:r w:rsidRPr="00F16D93">
            <w:rPr>
              <w:noProof/>
              <w:lang w:eastAsia="en-GB"/>
            </w:rPr>
            <w:drawing>
              <wp:inline distT="0" distB="0" distL="0" distR="0" wp14:anchorId="2B88F13E" wp14:editId="3F9BAEAA">
                <wp:extent cx="1045210" cy="326390"/>
                <wp:effectExtent l="0" t="0" r="2540" b="0"/>
                <wp:docPr id="2" name="Picture 17" descr="ArupLogo2010_k_OvaWord1000mm_CompoundTransparent_100kGreyscal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upLogo2010_k_OvaWord1000mm_CompoundTransparent_100kGreyscale.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5210" cy="326390"/>
                        </a:xfrm>
                        <a:prstGeom prst="rect">
                          <a:avLst/>
                        </a:prstGeom>
                        <a:noFill/>
                        <a:ln>
                          <a:noFill/>
                        </a:ln>
                      </pic:spPr>
                    </pic:pic>
                  </a:graphicData>
                </a:graphic>
              </wp:inline>
            </w:drawing>
          </w:r>
        </w:p>
      </w:tc>
    </w:tr>
  </w:tbl>
  <w:p w14:paraId="7C550D56" w14:textId="77777777" w:rsidR="0081178C" w:rsidRDefault="0081178C" w:rsidP="005A794F">
    <w:pPr>
      <w:pStyle w:val="Footer"/>
      <w:tabs>
        <w:tab w:val="left" w:pos="255"/>
        <w:tab w:val="right" w:pos="975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597D8" w14:textId="77777777" w:rsidR="0066402A" w:rsidRDefault="0066402A" w:rsidP="003F39D8">
      <w:pPr>
        <w:spacing w:after="0" w:line="240" w:lineRule="auto"/>
      </w:pPr>
      <w:r>
        <w:separator/>
      </w:r>
    </w:p>
  </w:footnote>
  <w:footnote w:type="continuationSeparator" w:id="0">
    <w:p w14:paraId="7FDF5C8F" w14:textId="77777777" w:rsidR="0066402A" w:rsidRDefault="0066402A" w:rsidP="003F3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6D17F" w14:textId="77777777" w:rsidR="00242350" w:rsidRPr="0089205B" w:rsidRDefault="00242350" w:rsidP="00FB10D6">
    <w:pPr>
      <w:pStyle w:val="Header"/>
      <w:ind w:left="-993"/>
      <w:rPr>
        <w:rFonts w:ascii="Times New Roman" w:hAnsi="Times New Roman"/>
        <w:color w:val="808080"/>
      </w:rPr>
    </w:pPr>
    <w:r w:rsidRPr="0089205B">
      <w:rPr>
        <w:rFonts w:ascii="Times New Roman" w:hAnsi="Times New Roman"/>
        <w:color w:val="808080"/>
      </w:rPr>
      <w:t>Building and Development Control Committee, States of Alderney</w:t>
    </w:r>
  </w:p>
  <w:p w14:paraId="0E2FD14D" w14:textId="77777777" w:rsidR="003F39D8" w:rsidRPr="0089205B" w:rsidRDefault="003F39D8" w:rsidP="00FB10D6">
    <w:pPr>
      <w:pStyle w:val="Header"/>
      <w:ind w:left="-993"/>
      <w:rPr>
        <w:rFonts w:ascii="Times New Roman" w:hAnsi="Times New Roman"/>
        <w:color w:val="808080"/>
      </w:rPr>
    </w:pPr>
    <w:r w:rsidRPr="0089205B">
      <w:rPr>
        <w:rFonts w:ascii="Times New Roman" w:hAnsi="Times New Roman"/>
        <w:color w:val="808080"/>
      </w:rPr>
      <w:t>Land Use Plan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4CE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06657"/>
    <w:multiLevelType w:val="hybridMultilevel"/>
    <w:tmpl w:val="AC968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734B8"/>
    <w:multiLevelType w:val="hybridMultilevel"/>
    <w:tmpl w:val="1A56A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0CA9"/>
    <w:multiLevelType w:val="hybridMultilevel"/>
    <w:tmpl w:val="465EF8B0"/>
    <w:lvl w:ilvl="0" w:tplc="40D82A76">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B05D7"/>
    <w:multiLevelType w:val="hybridMultilevel"/>
    <w:tmpl w:val="8086F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E0A29"/>
    <w:multiLevelType w:val="hybridMultilevel"/>
    <w:tmpl w:val="81E49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C906CE"/>
    <w:multiLevelType w:val="hybridMultilevel"/>
    <w:tmpl w:val="8DF6BE6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7" w15:restartNumberingAfterBreak="0">
    <w:nsid w:val="116A4AA4"/>
    <w:multiLevelType w:val="hybridMultilevel"/>
    <w:tmpl w:val="E79E5A4A"/>
    <w:lvl w:ilvl="0" w:tplc="C9AE8FD4">
      <w:start w:val="1"/>
      <w:numFmt w:val="decimal"/>
      <w:lvlText w:val="%1."/>
      <w:lvlJc w:val="left"/>
      <w:pPr>
        <w:ind w:left="309" w:hanging="360"/>
      </w:pPr>
      <w:rPr>
        <w:rFonts w:hint="default"/>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8" w15:restartNumberingAfterBreak="0">
    <w:nsid w:val="116A4D46"/>
    <w:multiLevelType w:val="hybridMultilevel"/>
    <w:tmpl w:val="6E3C9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097766"/>
    <w:multiLevelType w:val="hybridMultilevel"/>
    <w:tmpl w:val="B822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C241F"/>
    <w:multiLevelType w:val="hybridMultilevel"/>
    <w:tmpl w:val="EE50038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23E42A15"/>
    <w:multiLevelType w:val="hybridMultilevel"/>
    <w:tmpl w:val="1692606A"/>
    <w:lvl w:ilvl="0" w:tplc="65500C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623D7"/>
    <w:multiLevelType w:val="hybridMultilevel"/>
    <w:tmpl w:val="6B40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727B1"/>
    <w:multiLevelType w:val="hybridMultilevel"/>
    <w:tmpl w:val="657256E8"/>
    <w:lvl w:ilvl="0" w:tplc="5C92B59C">
      <w:start w:val="1"/>
      <w:numFmt w:val="bullet"/>
      <w:lvlText w:val=""/>
      <w:lvlJc w:val="left"/>
      <w:pPr>
        <w:ind w:left="365" w:hanging="360"/>
      </w:pPr>
      <w:rPr>
        <w:rFonts w:ascii="Symbol" w:hAnsi="Symbol" w:hint="default"/>
        <w:color w:val="auto"/>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14" w15:restartNumberingAfterBreak="0">
    <w:nsid w:val="34C94A18"/>
    <w:multiLevelType w:val="hybridMultilevel"/>
    <w:tmpl w:val="6F20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C41D1"/>
    <w:multiLevelType w:val="hybridMultilevel"/>
    <w:tmpl w:val="7026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565AF"/>
    <w:multiLevelType w:val="hybridMultilevel"/>
    <w:tmpl w:val="10B08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0A694A"/>
    <w:multiLevelType w:val="hybridMultilevel"/>
    <w:tmpl w:val="27D696E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44826158"/>
    <w:multiLevelType w:val="hybridMultilevel"/>
    <w:tmpl w:val="501218E2"/>
    <w:lvl w:ilvl="0" w:tplc="0A62B076">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394E2B"/>
    <w:multiLevelType w:val="hybridMultilevel"/>
    <w:tmpl w:val="64186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9560C"/>
    <w:multiLevelType w:val="hybridMultilevel"/>
    <w:tmpl w:val="9458981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1" w15:restartNumberingAfterBreak="0">
    <w:nsid w:val="54E10E07"/>
    <w:multiLevelType w:val="hybridMultilevel"/>
    <w:tmpl w:val="C5F4A3A6"/>
    <w:lvl w:ilvl="0" w:tplc="08090001">
      <w:start w:val="1"/>
      <w:numFmt w:val="bullet"/>
      <w:lvlText w:val=""/>
      <w:lvlJc w:val="left"/>
      <w:pPr>
        <w:ind w:left="669" w:hanging="360"/>
      </w:pPr>
      <w:rPr>
        <w:rFonts w:ascii="Symbol" w:hAnsi="Symbol"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22" w15:restartNumberingAfterBreak="0">
    <w:nsid w:val="5F04622A"/>
    <w:multiLevelType w:val="hybridMultilevel"/>
    <w:tmpl w:val="AE86F24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3" w15:restartNumberingAfterBreak="0">
    <w:nsid w:val="608A507D"/>
    <w:multiLevelType w:val="hybridMultilevel"/>
    <w:tmpl w:val="223A95D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4" w15:restartNumberingAfterBreak="0">
    <w:nsid w:val="646F412C"/>
    <w:multiLevelType w:val="hybridMultilevel"/>
    <w:tmpl w:val="34E47618"/>
    <w:lvl w:ilvl="0" w:tplc="2530FA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94991"/>
    <w:multiLevelType w:val="hybridMultilevel"/>
    <w:tmpl w:val="E35612F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6" w15:restartNumberingAfterBreak="0">
    <w:nsid w:val="6C33322D"/>
    <w:multiLevelType w:val="hybridMultilevel"/>
    <w:tmpl w:val="39284288"/>
    <w:lvl w:ilvl="0" w:tplc="8E84E650">
      <w:start w:val="1"/>
      <w:numFmt w:val="decimal"/>
      <w:lvlText w:val="%1."/>
      <w:lvlJc w:val="left"/>
      <w:pPr>
        <w:ind w:left="309" w:hanging="360"/>
      </w:pPr>
      <w:rPr>
        <w:rFonts w:hint="default"/>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27" w15:restartNumberingAfterBreak="0">
    <w:nsid w:val="6E587EF1"/>
    <w:multiLevelType w:val="hybridMultilevel"/>
    <w:tmpl w:val="73FE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D68E3"/>
    <w:multiLevelType w:val="hybridMultilevel"/>
    <w:tmpl w:val="B7D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10450E"/>
    <w:multiLevelType w:val="hybridMultilevel"/>
    <w:tmpl w:val="F19A47EC"/>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F261A91"/>
    <w:multiLevelType w:val="hybridMultilevel"/>
    <w:tmpl w:val="10D8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28"/>
  </w:num>
  <w:num w:numId="4">
    <w:abstractNumId w:val="13"/>
  </w:num>
  <w:num w:numId="5">
    <w:abstractNumId w:val="22"/>
  </w:num>
  <w:num w:numId="6">
    <w:abstractNumId w:val="1"/>
  </w:num>
  <w:num w:numId="7">
    <w:abstractNumId w:val="4"/>
  </w:num>
  <w:num w:numId="8">
    <w:abstractNumId w:val="9"/>
  </w:num>
  <w:num w:numId="9">
    <w:abstractNumId w:val="21"/>
  </w:num>
  <w:num w:numId="10">
    <w:abstractNumId w:val="7"/>
  </w:num>
  <w:num w:numId="11">
    <w:abstractNumId w:val="26"/>
  </w:num>
  <w:num w:numId="12">
    <w:abstractNumId w:val="8"/>
  </w:num>
  <w:num w:numId="13">
    <w:abstractNumId w:val="15"/>
  </w:num>
  <w:num w:numId="14">
    <w:abstractNumId w:val="2"/>
  </w:num>
  <w:num w:numId="15">
    <w:abstractNumId w:val="14"/>
  </w:num>
  <w:num w:numId="16">
    <w:abstractNumId w:val="17"/>
  </w:num>
  <w:num w:numId="17">
    <w:abstractNumId w:val="10"/>
  </w:num>
  <w:num w:numId="18">
    <w:abstractNumId w:val="25"/>
  </w:num>
  <w:num w:numId="19">
    <w:abstractNumId w:val="23"/>
  </w:num>
  <w:num w:numId="20">
    <w:abstractNumId w:val="6"/>
  </w:num>
  <w:num w:numId="21">
    <w:abstractNumId w:val="11"/>
  </w:num>
  <w:num w:numId="22">
    <w:abstractNumId w:val="0"/>
  </w:num>
  <w:num w:numId="23">
    <w:abstractNumId w:val="24"/>
  </w:num>
  <w:num w:numId="24">
    <w:abstractNumId w:val="20"/>
  </w:num>
  <w:num w:numId="25">
    <w:abstractNumId w:val="29"/>
  </w:num>
  <w:num w:numId="26">
    <w:abstractNumId w:val="27"/>
  </w:num>
  <w:num w:numId="27">
    <w:abstractNumId w:val="3"/>
  </w:num>
  <w:num w:numId="28">
    <w:abstractNumId w:val="5"/>
  </w:num>
  <w:num w:numId="29">
    <w:abstractNumId w:val="18"/>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D8"/>
    <w:rsid w:val="000008F5"/>
    <w:rsid w:val="00024A04"/>
    <w:rsid w:val="000415E5"/>
    <w:rsid w:val="0006095D"/>
    <w:rsid w:val="00072791"/>
    <w:rsid w:val="00075DA1"/>
    <w:rsid w:val="000772FB"/>
    <w:rsid w:val="00082B82"/>
    <w:rsid w:val="00097787"/>
    <w:rsid w:val="000A3EC6"/>
    <w:rsid w:val="000B2B46"/>
    <w:rsid w:val="000B3670"/>
    <w:rsid w:val="000D1AEF"/>
    <w:rsid w:val="000E0577"/>
    <w:rsid w:val="0012169A"/>
    <w:rsid w:val="001226A7"/>
    <w:rsid w:val="00147429"/>
    <w:rsid w:val="00153D13"/>
    <w:rsid w:val="001540B8"/>
    <w:rsid w:val="00172D8D"/>
    <w:rsid w:val="00186603"/>
    <w:rsid w:val="001F000D"/>
    <w:rsid w:val="00201B4A"/>
    <w:rsid w:val="00224DD6"/>
    <w:rsid w:val="00242350"/>
    <w:rsid w:val="00265E1D"/>
    <w:rsid w:val="00266003"/>
    <w:rsid w:val="00266286"/>
    <w:rsid w:val="00267255"/>
    <w:rsid w:val="0027295C"/>
    <w:rsid w:val="0027555B"/>
    <w:rsid w:val="00276F6E"/>
    <w:rsid w:val="00283A45"/>
    <w:rsid w:val="002B2A77"/>
    <w:rsid w:val="002C5ADA"/>
    <w:rsid w:val="002E5593"/>
    <w:rsid w:val="003205EF"/>
    <w:rsid w:val="00323753"/>
    <w:rsid w:val="00331523"/>
    <w:rsid w:val="00341F8E"/>
    <w:rsid w:val="00344136"/>
    <w:rsid w:val="00363D91"/>
    <w:rsid w:val="0037625B"/>
    <w:rsid w:val="003946D3"/>
    <w:rsid w:val="003A75D3"/>
    <w:rsid w:val="003B7712"/>
    <w:rsid w:val="003D416B"/>
    <w:rsid w:val="003E0855"/>
    <w:rsid w:val="003F39D8"/>
    <w:rsid w:val="00415C32"/>
    <w:rsid w:val="00423EA7"/>
    <w:rsid w:val="004240E1"/>
    <w:rsid w:val="00424450"/>
    <w:rsid w:val="00424E40"/>
    <w:rsid w:val="00441C19"/>
    <w:rsid w:val="00450754"/>
    <w:rsid w:val="00466B55"/>
    <w:rsid w:val="00470C64"/>
    <w:rsid w:val="00474C1B"/>
    <w:rsid w:val="004A2586"/>
    <w:rsid w:val="004E3828"/>
    <w:rsid w:val="00500553"/>
    <w:rsid w:val="00534058"/>
    <w:rsid w:val="0057767A"/>
    <w:rsid w:val="00585895"/>
    <w:rsid w:val="00586AF3"/>
    <w:rsid w:val="00587DB1"/>
    <w:rsid w:val="005A794F"/>
    <w:rsid w:val="005B05A2"/>
    <w:rsid w:val="005B0A68"/>
    <w:rsid w:val="005B6C91"/>
    <w:rsid w:val="005E37B9"/>
    <w:rsid w:val="005F17CE"/>
    <w:rsid w:val="005F5B98"/>
    <w:rsid w:val="005F6881"/>
    <w:rsid w:val="00624698"/>
    <w:rsid w:val="00633B64"/>
    <w:rsid w:val="006341AD"/>
    <w:rsid w:val="00634B17"/>
    <w:rsid w:val="00635A17"/>
    <w:rsid w:val="00652835"/>
    <w:rsid w:val="0066402A"/>
    <w:rsid w:val="00686584"/>
    <w:rsid w:val="00686B6A"/>
    <w:rsid w:val="00690F35"/>
    <w:rsid w:val="00691D67"/>
    <w:rsid w:val="00697CBF"/>
    <w:rsid w:val="006A6A1E"/>
    <w:rsid w:val="006B73EF"/>
    <w:rsid w:val="006B7A0B"/>
    <w:rsid w:val="006F4B4F"/>
    <w:rsid w:val="00703AD9"/>
    <w:rsid w:val="007056AE"/>
    <w:rsid w:val="007142F4"/>
    <w:rsid w:val="0072553F"/>
    <w:rsid w:val="007455E2"/>
    <w:rsid w:val="007479ED"/>
    <w:rsid w:val="007707EC"/>
    <w:rsid w:val="00790072"/>
    <w:rsid w:val="007A0D98"/>
    <w:rsid w:val="007B0DCA"/>
    <w:rsid w:val="007D1B13"/>
    <w:rsid w:val="007F52E0"/>
    <w:rsid w:val="007F6AC2"/>
    <w:rsid w:val="0081178C"/>
    <w:rsid w:val="00831C40"/>
    <w:rsid w:val="00835AD0"/>
    <w:rsid w:val="008639D5"/>
    <w:rsid w:val="00866237"/>
    <w:rsid w:val="00874A87"/>
    <w:rsid w:val="0088562D"/>
    <w:rsid w:val="0088661C"/>
    <w:rsid w:val="0089205B"/>
    <w:rsid w:val="00893452"/>
    <w:rsid w:val="00896FEB"/>
    <w:rsid w:val="008A38AB"/>
    <w:rsid w:val="008A6129"/>
    <w:rsid w:val="008A6910"/>
    <w:rsid w:val="008C5711"/>
    <w:rsid w:val="008E6A58"/>
    <w:rsid w:val="008E7017"/>
    <w:rsid w:val="008F2943"/>
    <w:rsid w:val="008F500E"/>
    <w:rsid w:val="00923B88"/>
    <w:rsid w:val="0093209D"/>
    <w:rsid w:val="009374E4"/>
    <w:rsid w:val="00965940"/>
    <w:rsid w:val="00983426"/>
    <w:rsid w:val="009936BE"/>
    <w:rsid w:val="00995FD1"/>
    <w:rsid w:val="009E48A4"/>
    <w:rsid w:val="00A20858"/>
    <w:rsid w:val="00A208D1"/>
    <w:rsid w:val="00A21891"/>
    <w:rsid w:val="00A45D3E"/>
    <w:rsid w:val="00A71223"/>
    <w:rsid w:val="00A718E9"/>
    <w:rsid w:val="00A71A5F"/>
    <w:rsid w:val="00A7394E"/>
    <w:rsid w:val="00AB0B9E"/>
    <w:rsid w:val="00AC55AA"/>
    <w:rsid w:val="00AD44B7"/>
    <w:rsid w:val="00AE381A"/>
    <w:rsid w:val="00AE5D6C"/>
    <w:rsid w:val="00AF754D"/>
    <w:rsid w:val="00B07A5B"/>
    <w:rsid w:val="00B1030D"/>
    <w:rsid w:val="00B14E7E"/>
    <w:rsid w:val="00B41602"/>
    <w:rsid w:val="00B522CC"/>
    <w:rsid w:val="00B55420"/>
    <w:rsid w:val="00B64A0F"/>
    <w:rsid w:val="00BA3CAA"/>
    <w:rsid w:val="00BB7755"/>
    <w:rsid w:val="00C21C61"/>
    <w:rsid w:val="00C262A0"/>
    <w:rsid w:val="00C5288E"/>
    <w:rsid w:val="00C53860"/>
    <w:rsid w:val="00C56925"/>
    <w:rsid w:val="00C61B29"/>
    <w:rsid w:val="00C70DCD"/>
    <w:rsid w:val="00C81C95"/>
    <w:rsid w:val="00C86317"/>
    <w:rsid w:val="00C92D87"/>
    <w:rsid w:val="00CA5154"/>
    <w:rsid w:val="00CB054D"/>
    <w:rsid w:val="00CB4CB1"/>
    <w:rsid w:val="00CF58BB"/>
    <w:rsid w:val="00D01B61"/>
    <w:rsid w:val="00D07849"/>
    <w:rsid w:val="00D1701D"/>
    <w:rsid w:val="00D214DE"/>
    <w:rsid w:val="00D24796"/>
    <w:rsid w:val="00D419FF"/>
    <w:rsid w:val="00D42D2D"/>
    <w:rsid w:val="00D60A70"/>
    <w:rsid w:val="00D73474"/>
    <w:rsid w:val="00D74357"/>
    <w:rsid w:val="00D769DF"/>
    <w:rsid w:val="00D867FD"/>
    <w:rsid w:val="00D96D49"/>
    <w:rsid w:val="00DC272B"/>
    <w:rsid w:val="00DF6D67"/>
    <w:rsid w:val="00E06C0C"/>
    <w:rsid w:val="00E079EB"/>
    <w:rsid w:val="00E14CD1"/>
    <w:rsid w:val="00E26A4F"/>
    <w:rsid w:val="00E32320"/>
    <w:rsid w:val="00E364CF"/>
    <w:rsid w:val="00E424F3"/>
    <w:rsid w:val="00E42DD0"/>
    <w:rsid w:val="00E60E2F"/>
    <w:rsid w:val="00E6734A"/>
    <w:rsid w:val="00E76195"/>
    <w:rsid w:val="00E762C6"/>
    <w:rsid w:val="00E80941"/>
    <w:rsid w:val="00E901E5"/>
    <w:rsid w:val="00EC33E3"/>
    <w:rsid w:val="00ED70ED"/>
    <w:rsid w:val="00ED7BB7"/>
    <w:rsid w:val="00F05229"/>
    <w:rsid w:val="00F05274"/>
    <w:rsid w:val="00F05C69"/>
    <w:rsid w:val="00F06C68"/>
    <w:rsid w:val="00F10E45"/>
    <w:rsid w:val="00F450B0"/>
    <w:rsid w:val="00F823AA"/>
    <w:rsid w:val="00FA3849"/>
    <w:rsid w:val="00FB10D6"/>
    <w:rsid w:val="00FB36DE"/>
    <w:rsid w:val="00FC467D"/>
    <w:rsid w:val="00FD30B6"/>
    <w:rsid w:val="00FD35C7"/>
    <w:rsid w:val="00FD54B1"/>
    <w:rsid w:val="00FF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8E4C4"/>
  <w15:docId w15:val="{969D7778-408D-4274-B1D8-F429180F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42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D8"/>
  </w:style>
  <w:style w:type="paragraph" w:styleId="Footer">
    <w:name w:val="footer"/>
    <w:basedOn w:val="Normal"/>
    <w:link w:val="FooterChar"/>
    <w:uiPriority w:val="99"/>
    <w:unhideWhenUsed/>
    <w:rsid w:val="003F3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D8"/>
  </w:style>
  <w:style w:type="table" w:styleId="TableGrid">
    <w:name w:val="Table Grid"/>
    <w:basedOn w:val="TableNormal"/>
    <w:uiPriority w:val="39"/>
    <w:rsid w:val="003F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9D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39D8"/>
    <w:rPr>
      <w:rFonts w:ascii="Segoe UI" w:hAnsi="Segoe UI" w:cs="Segoe UI"/>
      <w:sz w:val="18"/>
      <w:szCs w:val="18"/>
    </w:rPr>
  </w:style>
  <w:style w:type="paragraph" w:styleId="ListParagraph">
    <w:name w:val="List Paragraph"/>
    <w:basedOn w:val="Normal"/>
    <w:uiPriority w:val="34"/>
    <w:qFormat/>
    <w:rsid w:val="003F39D8"/>
    <w:pPr>
      <w:ind w:left="720"/>
      <w:contextualSpacing/>
    </w:pPr>
  </w:style>
  <w:style w:type="character" w:styleId="CommentReference">
    <w:name w:val="annotation reference"/>
    <w:uiPriority w:val="99"/>
    <w:semiHidden/>
    <w:unhideWhenUsed/>
    <w:rsid w:val="00534058"/>
    <w:rPr>
      <w:sz w:val="16"/>
      <w:szCs w:val="16"/>
    </w:rPr>
  </w:style>
  <w:style w:type="paragraph" w:styleId="CommentText">
    <w:name w:val="annotation text"/>
    <w:basedOn w:val="Normal"/>
    <w:link w:val="CommentTextChar"/>
    <w:uiPriority w:val="99"/>
    <w:semiHidden/>
    <w:unhideWhenUsed/>
    <w:rsid w:val="00534058"/>
    <w:pPr>
      <w:spacing w:line="240" w:lineRule="auto"/>
    </w:pPr>
    <w:rPr>
      <w:sz w:val="20"/>
      <w:szCs w:val="20"/>
    </w:rPr>
  </w:style>
  <w:style w:type="character" w:customStyle="1" w:styleId="CommentTextChar">
    <w:name w:val="Comment Text Char"/>
    <w:link w:val="CommentText"/>
    <w:uiPriority w:val="99"/>
    <w:semiHidden/>
    <w:rsid w:val="00534058"/>
    <w:rPr>
      <w:sz w:val="20"/>
      <w:szCs w:val="20"/>
    </w:rPr>
  </w:style>
  <w:style w:type="paragraph" w:styleId="CommentSubject">
    <w:name w:val="annotation subject"/>
    <w:basedOn w:val="CommentText"/>
    <w:next w:val="CommentText"/>
    <w:link w:val="CommentSubjectChar"/>
    <w:uiPriority w:val="99"/>
    <w:semiHidden/>
    <w:unhideWhenUsed/>
    <w:rsid w:val="00147429"/>
    <w:rPr>
      <w:b/>
      <w:bCs/>
    </w:rPr>
  </w:style>
  <w:style w:type="character" w:customStyle="1" w:styleId="CommentSubjectChar">
    <w:name w:val="Comment Subject Char"/>
    <w:link w:val="CommentSubject"/>
    <w:uiPriority w:val="99"/>
    <w:semiHidden/>
    <w:rsid w:val="00147429"/>
    <w:rPr>
      <w:b/>
      <w:bCs/>
      <w:sz w:val="20"/>
      <w:szCs w:val="20"/>
    </w:rPr>
  </w:style>
  <w:style w:type="character" w:styleId="Hyperlink">
    <w:name w:val="Hyperlink"/>
    <w:uiPriority w:val="99"/>
    <w:unhideWhenUsed/>
    <w:rsid w:val="00266003"/>
    <w:rPr>
      <w:color w:val="0563C1"/>
      <w:u w:val="single"/>
    </w:rPr>
  </w:style>
  <w:style w:type="paragraph" w:styleId="Revision">
    <w:name w:val="Revision"/>
    <w:hidden/>
    <w:uiPriority w:val="99"/>
    <w:semiHidden/>
    <w:rsid w:val="00CA5154"/>
    <w:rPr>
      <w:sz w:val="22"/>
      <w:szCs w:val="22"/>
      <w:lang w:eastAsia="en-US"/>
    </w:rPr>
  </w:style>
  <w:style w:type="paragraph" w:styleId="ListBullet">
    <w:name w:val="List Bullet"/>
    <w:basedOn w:val="Normal"/>
    <w:uiPriority w:val="99"/>
    <w:unhideWhenUsed/>
    <w:rsid w:val="002E5593"/>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vans@ar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evans@arup.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E57C1-56CA-4C85-B2A4-FC9AE0EA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7012</CharactersWithSpaces>
  <SharedDoc>false</SharedDoc>
  <HLinks>
    <vt:vector size="12" baseType="variant">
      <vt:variant>
        <vt:i4>8323166</vt:i4>
      </vt:variant>
      <vt:variant>
        <vt:i4>3</vt:i4>
      </vt:variant>
      <vt:variant>
        <vt:i4>0</vt:i4>
      </vt:variant>
      <vt:variant>
        <vt:i4>5</vt:i4>
      </vt:variant>
      <vt:variant>
        <vt:lpwstr>mailto:william.marr-heenan@arup.com</vt:lpwstr>
      </vt:variant>
      <vt:variant>
        <vt:lpwstr/>
      </vt:variant>
      <vt:variant>
        <vt:i4>8323166</vt:i4>
      </vt:variant>
      <vt:variant>
        <vt:i4>0</vt:i4>
      </vt:variant>
      <vt:variant>
        <vt:i4>0</vt:i4>
      </vt:variant>
      <vt:variant>
        <vt:i4>5</vt:i4>
      </vt:variant>
      <vt:variant>
        <vt:lpwstr>mailto:william.marr-heenan@arup.com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Evans</dc:creator>
  <cp:keywords/>
  <cp:lastModifiedBy>Declan</cp:lastModifiedBy>
  <cp:revision>2</cp:revision>
  <cp:lastPrinted>2015-11-25T17:29:00Z</cp:lastPrinted>
  <dcterms:created xsi:type="dcterms:W3CDTF">2017-03-30T14:25:00Z</dcterms:created>
  <dcterms:modified xsi:type="dcterms:W3CDTF">2017-03-30T14:25:00Z</dcterms:modified>
</cp:coreProperties>
</file>